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vertAlign w:val="subscript"/>
        </w:rPr>
      </w:r>
      <w:r>
        <w:rPr>
          <w:vertAlign w:val="subscript"/>
        </w:rPr>
      </w:r>
      <w:r>
        <w:rPr>
          <w:rFonts w:ascii="Arial" w:hAnsi="Arial" w:cs="Arial" w:eastAsia="Arial"/>
          <w:color w:val="000000"/>
          <w:sz w:val="22"/>
        </w:rPr>
        <w:t xml:space="preserve">Сайт Маерска - единственный (кроме Сигоу, но это одно и то же), который по номеру контейнера дает номер коносамента. 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Выглядит это так: </w:t>
      </w:r>
      <w:r/>
    </w:p>
    <w:p>
      <w:pPr>
        <w:ind w:left="0" w:right="0" w:hanging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https://my.maerskline.com/tracking/search?keyType=UNKNOWN_TYPE&amp;searchNumber=MSKU3804266</w:t>
      </w:r>
      <w:r/>
    </w:p>
    <w:p>
      <w:pPr>
        <w:ind w:left="0" w:right="0" w:hanging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  <w:r>
        <w:rPr>
          <w:rFonts w:ascii="Arial" w:hAnsi="Arial" w:cs="Arial" w:eastAsia="Arial"/>
          <w:color w:val="000000"/>
          <w:sz w:val="22"/>
        </w:rPr>
        <w:drawing>
          <wp:inline xmlns:wp="http://schemas.openxmlformats.org/drawingml/2006/wordprocessingDrawing" distT="0" distB="0" distL="0" distR="0">
            <wp:extent cx="5940425" cy="2476945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24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color w:val="000000"/>
          <w:sz w:val="22"/>
        </w:rPr>
      </w:r>
    </w:p>
    <w:p>
      <w:pPr>
        <w:ind w:left="0" w:right="0" w:hanging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5115181</wp:posOffset>
                </wp:positionH>
                <wp:positionV relativeFrom="paragraph">
                  <wp:posOffset>92299</wp:posOffset>
                </wp:positionV>
                <wp:extent cx="406977" cy="952499"/>
                <wp:effectExtent l="-467" t="-2308" r="54425" b="18236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656506" flipH="0" flipV="0">
                          <a:off x="0" y="0"/>
                          <a:ext cx="406977" cy="952499"/>
                        </a:xfrm>
                        <a:prstGeom prst="upArrow">
                          <a:avLst>
                            <a:gd name="adj1" fmla="val 53191"/>
                            <a:gd name="adj2" fmla="val 50000"/>
                          </a:avLst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634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o:spt="68" style="position:absolute;mso-wrap-distance-left:9.1pt;mso-wrap-distance-top:0.0pt;mso-wrap-distance-right:9.1pt;mso-wrap-distance-bottom:0.0pt;z-index:16384;mso-position-horizontal-relative:text;margin-left:402.8pt;mso-position-horizontal:absolute;mso-position-vertical-relative:text;margin-top:7.3pt;mso-position-vertical:absolute;width:32.0pt;height:75.0pt;rotation:10;" coordsize="100000,100000" path="m0,21363l23404,21363l23404,100000l76595,100000l76595,21363l99999,21363l49999,0xe" fillcolor="#000000" strokecolor="#000000" strokeweight="0.50pt">
                <v:path textboxrect="23404,31363,76594,100000"/>
                <v:fill opacity="100f"/>
              </v:shape>
            </w:pict>
          </mc:Fallback>
        </mc:AlternateContent>
      </w: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</w:r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  <w:t xml:space="preserve">После введения номера контейнера в поле отслеживания и нажатия Enter страница перезагружается, появляется строка состояния контейнера а в поле отслеживания номер контейнера подменяется номером коносамента. </w:t>
      </w: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Отдельно номер коносамента просто выводится на сайте. 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Детальная информация по контейнеру выводится по кнопке “показать детали”. </w:t>
      </w:r>
      <w:r/>
    </w:p>
    <w:p>
      <w:pPr>
        <w:ind w:left="0" w:right="0" w:hanging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</w:r>
    </w:p>
    <w:p>
      <w:pPr>
        <w:ind w:left="0" w:right="0" w:hanging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drawing>
          <wp:inline xmlns:wp="http://schemas.openxmlformats.org/drawingml/2006/wordprocessingDrawing" distT="0" distB="0" distL="0" distR="0">
            <wp:extent cx="5940425" cy="3214194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5" cy="321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color w:val="000000"/>
          <w:sz w:val="22"/>
        </w:rPr>
      </w:r>
    </w:p>
    <w:p>
      <w:pPr>
        <w:ind w:left="0" w:right="0" w:hanging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</w:r>
    </w:p>
    <w:p>
      <w:pPr>
        <w:shd w:val="clear" w:color="auto" w:fill="auto"/>
        <w:rPr>
          <w:rFonts w:ascii="Arial" w:hAnsi="Arial" w:cs="Arial" w:eastAsia="Arial"/>
          <w:color w:val="000000"/>
          <w:sz w:val="22"/>
        </w:rPr>
      </w:pPr>
      <w:r>
        <w:rPr>
          <w:rFonts w:ascii="Arial" w:hAnsi="Arial" w:cs="Arial" w:eastAsia="Arial"/>
          <w:color w:val="000000"/>
          <w:sz w:val="22"/>
        </w:rPr>
        <w:br w:type="page"/>
      </w:r>
      <w:r>
        <w:rPr>
          <w:rFonts w:ascii="Arial" w:hAnsi="Arial" w:cs="Arial" w:eastAsia="Arial"/>
          <w:color w:val="000000"/>
          <w:sz w:val="22"/>
        </w:rPr>
      </w:r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Если же мы введем в поле “отслеживать” номер коносамента, мы получим список контейнеров в данном коносаменте: </w:t>
      </w:r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</w:r>
    </w:p>
    <w:p>
      <w:r/>
      <w:r/>
      <w:r>
        <w:drawing>
          <wp:anchor xmlns:wp="http://schemas.openxmlformats.org/drawingml/2006/wordprocessingDrawing" distT="0" distB="0" distL="115200" distR="115200" simplePos="0" relativeHeight="30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837613"/>
            <wp:effectExtent l="0" t="0" r="0" b="0"/>
            <wp:wrapTopAndBottom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0425" cy="283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/>
      <w:r>
        <w:drawing>
          <wp:anchor xmlns:wp="http://schemas.openxmlformats.org/drawingml/2006/wordprocessingDrawing" distT="0" distB="0" distL="115200" distR="115200" simplePos="0" relativeHeight="19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498136</wp:posOffset>
            </wp:positionV>
            <wp:extent cx="5940425" cy="5203175"/>
            <wp:effectExtent l="0" t="0" r="0" b="0"/>
            <wp:wrapTopAndBottom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0425" cy="5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Точно также можно открыть любой из этих контейнеров для получения подробной информации: </w:t>
      </w:r>
      <w:r/>
      <w:r/>
    </w:p>
    <w:p>
      <w:r>
        <w:t xml:space="preserve">По сути механизм отображения достаточно бесхитростный. </w:t>
      </w:r>
      <w:r/>
    </w:p>
    <w:p>
      <w:r>
        <w:t xml:space="preserve">Например, у данного участка: </w:t>
      </w:r>
      <w:r/>
    </w:p>
    <w:p>
      <w:r/>
      <w:r>
        <w:drawing>
          <wp:anchor xmlns:wp="http://schemas.openxmlformats.org/drawingml/2006/wordprocessingDrawing" distT="0" distB="0" distL="115200" distR="115200" simplePos="0" relativeHeight="22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880756"/>
            <wp:effectExtent l="0" t="0" r="0" b="0"/>
            <wp:wrapTopAndBottom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40425" cy="88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  <w:r/>
    </w:p>
    <w:p>
      <w:r>
        <w:t xml:space="preserve">Код элемента выглядит вот так: </w:t>
      </w:r>
      <w:r/>
    </w:p>
    <w:p>
      <w:pPr>
        <w:rPr>
          <w:rFonts w:ascii="Courier New" w:hAnsi="Courier New" w:cs="Courier New" w:eastAsia="Courier New"/>
          <w:color w:val="000000"/>
          <w:sz w:val="20"/>
        </w:rPr>
      </w:pPr>
      <w:r/>
      <w:r>
        <w:rPr>
          <w:rFonts w:ascii="Courier New" w:hAnsi="Courier New" w:cs="Courier New" w:eastAsia="Courier New"/>
          <w:color w:val="000000"/>
          <w:sz w:val="20"/>
        </w:rPr>
        <w:t xml:space="preserve">&lt;td&gt;&lt;/td&gt; &lt;td&gt;&lt;i 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class="icon-LOAD"</w:t>
      </w:r>
      <w:r>
        <w:rPr>
          <w:rFonts w:ascii="Courier New" w:hAnsi="Courier New" w:cs="Courier New" w:eastAsia="Courier New"/>
          <w:color w:val="000000"/>
          <w:sz w:val="20"/>
        </w:rPr>
        <w:t xml:space="preserve">&gt;&lt;/i&gt;&lt;/td&gt; &lt;td&gt;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 21 Jan 2018</w:t>
      </w:r>
      <w:r>
        <w:rPr>
          <w:rFonts w:ascii="Courier New" w:hAnsi="Courier New" w:cs="Courier New" w:eastAsia="Courier New"/>
          <w:color w:val="000000"/>
          <w:sz w:val="20"/>
        </w:rPr>
        <w:t xml:space="preserve">&lt;br&gt;22:39 &lt;/td&gt; &lt;td&gt; &lt;strong&gt;Погрузка&lt;/strong&gt; on &lt;strong&gt;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M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AERSK KAMPALA</w:t>
      </w:r>
      <w:r>
        <w:rPr>
          <w:rFonts w:ascii="Courier New" w:hAnsi="Courier New" w:cs="Courier New" w:eastAsia="Courier New"/>
          <w:color w:val="000000"/>
          <w:sz w:val="20"/>
        </w:rPr>
        <w:t xml:space="preserve">&lt;/strong&gt; &lt;br&gt;&lt;small&gt;Voyage No.: 1803&lt;/small&gt; &lt;/td&gt; &lt;td&gt;&lt;/td&gt; &lt;/tr&gt;</w:t>
      </w:r>
      <w:r/>
      <w:r/>
    </w:p>
    <w:p>
      <w:pPr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/>
          <w:sz w:val="20"/>
        </w:rPr>
        <w:t xml:space="preserve">К сожалению, нигде на сайте не пишется что есть порт перевалки, а что есть финальный порт выгрузки. </w:t>
      </w:r>
      <w:r>
        <w:rPr>
          <w:rFonts w:ascii="Courier New" w:hAnsi="Courier New" w:cs="Courier New" w:eastAsia="Courier New"/>
          <w:color w:val="000000"/>
          <w:sz w:val="20"/>
        </w:rPr>
      </w:r>
    </w:p>
    <w:p>
      <w:pPr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/>
          <w:sz w:val="20"/>
        </w:rPr>
        <w:t xml:space="preserve">В данном случае следует ориентироваться на наличие портов в цепочке. Если их два - погрузки и выгрузки - значит перевалки нет. Остальное понятно. </w:t>
      </w:r>
      <w:r>
        <w:rPr>
          <w:rFonts w:ascii="Courier New" w:hAnsi="Courier New" w:cs="Courier New" w:eastAsia="Courier New"/>
          <w:color w:val="000000"/>
          <w:sz w:val="20"/>
        </w:rPr>
      </w:r>
    </w:p>
    <w:p>
      <w:pPr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/>
          <w:sz w:val="20"/>
        </w:rPr>
        <w:t xml:space="preserve">Также вот так выглядит пустая выдача: </w:t>
      </w:r>
      <w:r>
        <w:rPr>
          <w:rFonts w:ascii="Courier New" w:hAnsi="Courier New" w:cs="Courier New" w:eastAsia="Courier New"/>
          <w:color w:val="000000"/>
          <w:sz w:val="20"/>
        </w:rPr>
      </w:r>
    </w:p>
    <w:p>
      <w:pPr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/>
          <w:sz w:val="20"/>
        </w:rPr>
        <w:drawing>
          <wp:anchor xmlns:wp="http://schemas.openxmlformats.org/drawingml/2006/wordprocessingDrawing" distT="0" distB="0" distL="115200" distR="115200" simplePos="0" relativeHeight="24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121580"/>
            <wp:effectExtent l="0" t="0" r="0" b="0"/>
            <wp:wrapTopAndBottom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0425" cy="212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 w:eastAsia="Courier New"/>
          <w:color w:val="000000"/>
          <w:sz w:val="20"/>
        </w:rPr>
      </w:r>
    </w:p>
    <w:p>
      <w:pPr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/>
          <w:sz w:val="20"/>
        </w:rPr>
        <w:t xml:space="preserve">В принципе по Маерску пока все. </w:t>
      </w:r>
      <w:r>
        <w:rPr>
          <w:rFonts w:ascii="Courier New" w:hAnsi="Courier New" w:cs="Courier New" w:eastAsia="Courier New"/>
          <w:color w:val="000000"/>
          <w:sz w:val="20"/>
        </w:rPr>
      </w:r>
      <w:r>
        <w:rPr>
          <w:rFonts w:ascii="Courier New" w:hAnsi="Courier New" w:cs="Courier New" w:eastAsia="Courier New"/>
          <w:color w:val="000000"/>
          <w:sz w:val="20"/>
        </w:rPr>
      </w:r>
      <w:r>
        <w:rPr>
          <w:rFonts w:ascii="Courier New" w:hAnsi="Courier New" w:cs="Courier New" w:eastAsia="Courier New"/>
          <w:color w:val="000000"/>
          <w:sz w:val="20"/>
        </w:rPr>
      </w:r>
    </w:p>
    <w:sectPr>
      <w:footerReference w:type="default" r:id="rId7"/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ourier New">
    <w:panose1 w:val="020704090202050204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1"/>
      <w:tabs>
        <w:tab w:val="clear" w:pos="4677"/>
        <w:tab w:val="clear" w:pos="9355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footer" Target="footer1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