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a3ab0"/>
          <w:sz w:val="52"/>
          <w:szCs w:val="52"/>
        </w:rPr>
        <w:t xml:space="preserve">BANCO DE DADOS HOSPITALAR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8"/>
          <w:szCs w:val="28"/>
        </w:rPr>
        <w:t xml:space="preserve">Descrição Técnica e Estrutural Completa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MySQL 8.0  ·  15 tabelas  ·  24 relacionamentos  ·  63 pacientes</w:t>
      </w:r>
    </w:p>
    <w:p>
      <w:r>
        <w:br w:type="page"/>
      </w:r>
    </w:p>
    <w:p>
      <w:pPr>
        <w:pStyle w:val="Heading1"/>
        <w:pBdr>
          <w:bottom w:val="single" w:color="4a3ab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a3ab0"/>
          <w:sz w:val="32"/>
          <w:szCs w:val="32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banco de dados modela o sistema de informações de um hospital de médio porte, implementado em MySQL 8.0. Abrange os domínios de gestão de pacientes, atendimento clínico, internações, cirurgias, farmácia, exames, controle financeiro e registro de óbitos. A modelagem segue rigorosamente as três primeiras formas normais (1FN, 2FN e 3FN), garantindo integridade referencial, eliminação de redundâncias e atomicidade dos dados.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SGBD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de tabelas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de relacionamentos (FKs)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Pacientes cadastrados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Consultas registradas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Médicos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Funcionários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Departamentos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Internações ativas (sem alta)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de 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Óbitos registrados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Cirurgias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Prescrições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</w:tr>
    </w:tbl>
    <w:p/>
    <w:p>
      <w:pPr>
        <w:pStyle w:val="Heading1"/>
        <w:pBdr>
          <w:bottom w:val="single" w:color="4a3ab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a3ab0"/>
          <w:sz w:val="32"/>
          <w:szCs w:val="32"/>
        </w:rPr>
        <w:t xml:space="preserve">2. Normalização — As 3 Formas Normais Aplicadas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Primeira Forma Normal (1FN) — Atomicidade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campo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endereco VARCHAR(200)</w:t>
      </w:r>
      <w:r>
        <w:rPr>
          <w:rFonts w:ascii="Arial" w:cs="Arial" w:eastAsia="Arial" w:hAnsi="Arial"/>
          <w:sz w:val="22"/>
          <w:szCs w:val="22"/>
        </w:rPr>
        <w:t xml:space="preserve"> original na tabela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paciente</w:t>
      </w:r>
      <w:r>
        <w:rPr>
          <w:rFonts w:ascii="Arial" w:cs="Arial" w:eastAsia="Arial" w:hAnsi="Arial"/>
          <w:sz w:val="22"/>
          <w:szCs w:val="22"/>
        </w:rPr>
        <w:t xml:space="preserve"> armazenava rua, número, bairro e cidade concatenados em uma única string, violando a atomicidade. A solução foi extrair esses dados para a tabela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endereco_paciente</w:t>
      </w:r>
      <w:r>
        <w:rPr>
          <w:rFonts w:ascii="Arial" w:cs="Arial" w:eastAsia="Arial" w:hAnsi="Arial"/>
          <w:sz w:val="22"/>
          <w:szCs w:val="22"/>
        </w:rPr>
        <w:t xml:space="preserve">, com uma coluna dedicada para cada componente.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Segunda Forma Normal (2FN) — Dependência Total da Chave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atributos de cada tabela dependem exclusivamente de sua chave primária. Os campos rua, número, bairro, cidade e UF descrevem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endereço</w:t>
      </w:r>
      <w:r>
        <w:rPr>
          <w:rFonts w:ascii="Arial" w:cs="Arial" w:eastAsia="Arial" w:hAnsi="Arial"/>
          <w:sz w:val="22"/>
          <w:szCs w:val="22"/>
        </w:rPr>
        <w:t xml:space="preserve">, não um paciente — por isso residem em sua própria entidade.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Terceira Forma Normal (3FN) — Sem Dependências Transitivas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os dados de endereço permanecessem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paciente</w:t>
      </w:r>
      <w:r>
        <w:rPr>
          <w:rFonts w:ascii="Arial" w:cs="Arial" w:eastAsia="Arial" w:hAnsi="Arial"/>
          <w:sz w:val="22"/>
          <w:szCs w:val="22"/>
        </w:rPr>
        <w:t xml:space="preserve">, teríamos: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id_paciente → id_endereco → rua/bairro/UF</w:t>
      </w:r>
      <w:r>
        <w:rPr>
          <w:rFonts w:ascii="Arial" w:cs="Arial" w:eastAsia="Arial" w:hAnsi="Arial"/>
          <w:sz w:val="22"/>
          <w:szCs w:val="22"/>
        </w:rPr>
        <w:t xml:space="preserve">. A extração elimina essa dependência transitiva, permitindo atualizar um endereço sem modificar o registro do paciente.</w:t>
      </w:r>
    </w:p>
    <w:p/>
    <w:p>
      <w:pPr>
        <w:pStyle w:val="Heading1"/>
        <w:pBdr>
          <w:bottom w:val="single" w:color="4a3ab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a3ab0"/>
          <w:sz w:val="32"/>
          <w:szCs w:val="32"/>
        </w:rPr>
        <w:t xml:space="preserve">3. Estrutura das Tabelas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banco é composto por 15 tabelas organizadas em cinco grupos funcionais.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5a1a"/>
          <w:sz w:val="26"/>
          <w:szCs w:val="26"/>
        </w:rPr>
        <w:t xml:space="preserve">3.1  Grupo: Estrutura Hospitalar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id_departamento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departamento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departamento (ex: Cardiologia)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localizacao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Localização física no hospital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Ramal ou telefone do setor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QUARTO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id_quarto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quarto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Número do quarto (ex: D001, A101)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apartamento | enfermaria | UTI | cirurgia | emergencia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disponivel | ocupado | manutencao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id_departamento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Departamento ao qual o quarto pertence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3ab0"/>
          <w:sz w:val="26"/>
          <w:szCs w:val="26"/>
        </w:rPr>
        <w:t xml:space="preserve">3.2  Grupo: Pessoas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ENDERECO_PACIENTE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id_endereco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endereço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rua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VARCHAR(150)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da rua ou avenida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Número do imóvel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bairro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bairro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Município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f4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CHAR(2)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Sigla do estado (ex: PE, SP)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paciente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VARCHAR(120)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data_nascimento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nascimento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cpf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CHAR(11)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 (único no sistema)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Contato telefônico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tipo_sanguineo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A+, A-, B+, B-, AB+, AB-, O+, O-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em kg (ex: 72.50)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UNSIGNED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Idade em anos completos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altura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Altura em metros (ex: 1.75)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id_endereco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 ao endereço do paciente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id_medico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médico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VARCHAR(120)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completo com título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CRM — único no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VARCHAR(80)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Especialidade médica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Contato do médico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id_departamento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Departamento de atuação principal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id_funcionario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funcionário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VARCHAR(120)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VARCHAR(80)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Cargo (Enfermeiro, Técnico de Lab.,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cpf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CHAR(11)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 (único no sistema)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data_admissao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entrada no hospital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salario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Salário mensal em reais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id_departamento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Departamento onde trabalha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b0"/>
          <w:sz w:val="26"/>
          <w:szCs w:val="26"/>
        </w:rPr>
        <w:t xml:space="preserve">3.3  Grupo: Atendimento Clínico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id_consulta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da consulta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data_hora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do atendimento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motivo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Queixa principal (NULL em emergências graves)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diagnostico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Diagnóstico emitido pelo médico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atendido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id_medico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Médico responsável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id_quarto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Quarto onde ocorreu a consulta (opcional)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INTERNACAO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id_internacao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da internação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data_entrada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de entrada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data_saida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de alta (NULL = ainda internado)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motivo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 da internação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internado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id_quarto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Quarto ocupado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id_medico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Médico responsável pela internação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CIRURGIA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id_cirurgia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da cirurgia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VARCHAR(120)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Tipo/nome do procedimento cirúrgico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data_hora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programada ou realizada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duracao_min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Duração estimada em minutos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agendada | em_andamento | concluida | cancelada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submetido à cirurgia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id_medico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Médico cirurgião responsável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id_quarto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Quarto cirúrgico utilizado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id_exame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exame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do exame (ex: Eletrocardiograma, 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data_solicitacao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em que foi solicitado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data_resultado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do resultado (NULL = pendente)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Laudo/resultado do exame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id_consulta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que gerou a solicitação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b0"/>
          <w:sz w:val="26"/>
          <w:szCs w:val="26"/>
        </w:rPr>
        <w:t xml:space="preserve">3.4  Grupo: Farmácia e Prescrições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MEDICAMENTO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id_medicamento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medicamento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VARCHAR(120)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comercial e dosagem (ex: Aspirina 100mg)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principio_ativo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VARCHAR(120)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Substância ativa (ex: Ácido acetilsalicílico)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fabricante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Laboratório fabricante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preco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Preço unitário em reais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id_prescricao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da prescrição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da prescrição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instrucoes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Orientações gerais de 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id_consulta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que gerou a prescrição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PRESCRICAO_MEDICAMENTO (N:N)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id_prescricao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(PK composta)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 à prescrição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id_medicamento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(PK composta)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 ao medicamento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dosagem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Dose prescrita (ex: 500 mg, 2mg/h IV)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frequencia_horas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Intervalo entre doses em horas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6f00"/>
          <w:sz w:val="26"/>
          <w:szCs w:val="26"/>
        </w:rPr>
        <w:t xml:space="preserve">3.5  Grupo: Financeiro e Óbitos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id_pagamento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da transação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 em reais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dinheiro | cartao_credito | cartao_debito | pix | convenio | boleto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pendente | pago |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responsável financeiro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id_consulta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vinculada (opcional, nullable)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OBITUARIO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PK id_obituario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registro de óbito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causa_obito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Diagnóstico/causa que levou ao falecimento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data_internacao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entrada na internação de origem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data_obito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do óbito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dias_internado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GENERATED STORED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Calculado automaticamente via DATEDIFF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despesas_medicas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de despesas geradas durante a internação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observacoes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Notas clínicas e circunstâncias adicionais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falecido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id_medico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Médico responsável no momento do óbito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id_internacao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Internação de origem (única por óbito)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id_quarto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Quarto onde o óbito ocorreu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id_pagamento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Despesas vinculadas (nullable)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4a3ab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a3ab0"/>
          <w:sz w:val="32"/>
          <w:szCs w:val="32"/>
        </w:rPr>
        <w:t xml:space="preserve">4. Relacionamentos e Cardinalidades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banco possui 24 relacionamentos implementados via chaves estrangeiras, distribuídos em três tipos: 19 relacionamentos 1:N, 4 relacionamentos 1:1 e 1 relacionamento N:N.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900"/>
        <w:gridCol w:w="9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 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ENDERECO_PACIENTE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endereço pode pertencer a vários pacientes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departamento possui vários médicos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departamento emprega vários funcionários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departamento contém vários quartos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paciente realiza várias consultas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paciente pode ter várias internações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CIRURGIA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paciente pode passar por várias cirurgias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paciente efetua vários pagamentos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OBITUARIO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||—o|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paciente tem no máximo um registro de óbito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médico atende várias consultas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médico supervisiona várias internações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CIRURGIA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médico realiza várias cirurgias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OBITUARIO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médico pode ser responsável por vários óbitos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quarto pode sediar várias consultas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quarto acomoda várias internações ao longo do tempo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CIRURGIA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quarto pode ser usado em várias cirurgias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OBITUARIO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quarto pode ter vários óbitos registrados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PRESCRICAO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Uma consulta pode gerar várias prescrições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Uma consulta pode solicitar vários exames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||—o|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Uma consulta gera no máximo um pagamento (opcional)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PRESCRICAO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PRESCRICAO_MEDICAMENTO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Uma prescrição inclui vários itens de medicamento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PRESCRICAO_MEDICAMENTO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 :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o{—o{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Relação muitos-para-muitos — resolvida por tabela associativa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INTERNACAO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OBITUARIO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||—o|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Uma internação origina no máximo um óbito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OBITUARIO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||—o|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pagamento vincula-se a no máximo um óbito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4a3ab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a3ab0"/>
          <w:sz w:val="32"/>
          <w:szCs w:val="32"/>
        </w:rPr>
        <w:t xml:space="preserve">5. Dados Populados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b0"/>
          <w:sz w:val="26"/>
          <w:szCs w:val="26"/>
        </w:rPr>
        <w:t xml:space="preserve">5.1  Pacientes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63 pacientes cadastrados com endereço atômico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endereco_paciente</w:t>
      </w:r>
      <w:r>
        <w:rPr>
          <w:rFonts w:ascii="Arial" w:cs="Arial" w:eastAsia="Arial" w:hAnsi="Arial"/>
          <w:sz w:val="22"/>
          <w:szCs w:val="22"/>
        </w:rPr>
        <w:t xml:space="preserve">. Os 3 primeiros são de São Paulo; os demais 60 estão distribuídos em Recife, Olinda, Paulista, Caruaru e Petrolina (PE), todos com DDD 81. Idades entre 19 e 55 anos, pesos entre 55 e 100 kg, alturas entre 1,60 e 1,95 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sanguíneo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b0"/>
          <w:sz w:val="26"/>
          <w:szCs w:val="26"/>
        </w:rPr>
        <w:t xml:space="preserve">5.2  Equipe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Especialidade médica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Clínica Geral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Cirurgião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Oftalmologista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Dermatologista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Cardiologia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Ortopedia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Pediatria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Otorrinolaringologista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 funcionários com cargos: Enfermeiro(a), Técnico(a) de Lab. e Recepcionista, distribuídos entre os 6 departamentos.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b0"/>
          <w:sz w:val="26"/>
          <w:szCs w:val="26"/>
        </w:rPr>
        <w:t xml:space="preserve">5.3  Consultas e Casos Clínicos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63 consultas entre maio e julho de 2024. 10 casos graves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motivo = NULL</w:t>
      </w:r>
      <w:r>
        <w:rPr>
          <w:rFonts w:ascii="Arial" w:cs="Arial" w:eastAsia="Arial" w:hAnsi="Arial"/>
          <w:sz w:val="22"/>
          <w:szCs w:val="22"/>
        </w:rPr>
        <w:t xml:space="preserve"> (entradas de emergência). Diagnósticos críticos incluem: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Politraumatismo por acidente de trânsito (TCE, fratura bilateral, hemotórax)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Queimaduras de 3° grau — 45%, 55% e 60% da superfície corporal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Envenenamento por organofosforado e por cianeto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Atropelamento com ruptura esplênica e pneumotórax hipertensivo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Traumatismo raquimedular cervical C5-C6 (tetraplegia)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Envenenamento por Bothrops (CIVD + necrose tecidual)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b0"/>
          <w:sz w:val="26"/>
          <w:szCs w:val="26"/>
        </w:rPr>
        <w:t xml:space="preserve">5.4  Internações e Óbitos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16 internações no total. 10 pacientes graves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data_saida = NULL</w:t>
      </w:r>
      <w:r>
        <w:rPr>
          <w:rFonts w:ascii="Arial" w:cs="Arial" w:eastAsia="Arial" w:hAnsi="Arial"/>
          <w:sz w:val="22"/>
          <w:szCs w:val="22"/>
        </w:rPr>
        <w:t xml:space="preserve"> — ainda internados. 3 desses 10 (Ana Luiza Souza, Diego Cavalcanti e Isabela Cunha) permanecem vivos em UTI. Os outros 7 vieram a óbito, com despesas totais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R$ 57.100,00</w:t>
      </w:r>
      <w:r>
        <w:rPr>
          <w:rFonts w:ascii="Arial" w:cs="Arial" w:eastAsia="Arial" w:hAnsi="Arial"/>
          <w:sz w:val="22"/>
          <w:szCs w:val="22"/>
        </w:rPr>
        <w:t xml:space="preserve"> e média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R$ 8.157,14 por óbito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000"/>
        <w:gridCol w:w="2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 do óbito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Olivia Ramos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Atropelamento — ruptura esplênica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6.400,00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Vinícius Carvalho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Queimaduras 60% SCQ — DMOF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9.800,00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Beatriz Moura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Cianeto — morte encefálica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8.100,00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Helena Vieira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TCR cervical — pneumonia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7.500,00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Nathalia Aragão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Queimaduras 55% — explosão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9.600,00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Vanessa Estrada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Bothrops — CIVD + falência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6.900,00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Bianca Cavalcante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Hemotórax — exsanguinação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8.800,00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b0"/>
          <w:sz w:val="26"/>
          <w:szCs w:val="26"/>
        </w:rPr>
        <w:t xml:space="preserve">5.5  Pagamentos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2340"/>
        <w:gridCol w:w="34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Convênio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Cartão crédito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Cartão débito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Dinheiro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4a3ab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a3ab0"/>
          <w:sz w:val="32"/>
          <w:szCs w:val="32"/>
        </w:rPr>
        <w:t xml:space="preserve">6. Recursos Técnicos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Coluna Gerada (GENERATED ALWAYS 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campo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dias_internado</w:t>
      </w:r>
      <w:r>
        <w:rPr>
          <w:rFonts w:ascii="Arial" w:cs="Arial" w:eastAsia="Arial" w:hAnsi="Arial"/>
          <w:sz w:val="22"/>
          <w:szCs w:val="22"/>
        </w:rPr>
        <w:t xml:space="preserve">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obituario</w:t>
      </w:r>
      <w:r>
        <w:rPr>
          <w:rFonts w:ascii="Arial" w:cs="Arial" w:eastAsia="Arial" w:hAnsi="Arial"/>
          <w:sz w:val="22"/>
          <w:szCs w:val="22"/>
        </w:rPr>
        <w:t xml:space="preserve"> é calculado automaticamente pelo MySQL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DATEDIFF(data_obito, data_internacao)</w:t>
      </w:r>
      <w:r>
        <w:rPr>
          <w:rFonts w:ascii="Arial" w:cs="Arial" w:eastAsia="Arial" w:hAnsi="Arial"/>
          <w:sz w:val="22"/>
          <w:szCs w:val="22"/>
        </w:rPr>
        <w:t xml:space="preserve"> com modificador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STORED</w:t>
      </w:r>
      <w:r>
        <w:rPr>
          <w:rFonts w:ascii="Arial" w:cs="Arial" w:eastAsia="Arial" w:hAnsi="Arial"/>
          <w:sz w:val="22"/>
          <w:szCs w:val="22"/>
        </w:rPr>
        <w:t xml:space="preserve"> — persistido em disco, sem recálculo a cada leitura.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ENUM para Controle de Domínio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Campos de estado controlado (tipo de quarto, status de cirurgia, método de pagamento, tipo sanguíneo) usam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ENUM</w:t>
      </w:r>
      <w:r>
        <w:rPr>
          <w:rFonts w:ascii="Arial" w:cs="Arial" w:eastAsia="Arial" w:hAnsi="Arial"/>
          <w:sz w:val="22"/>
          <w:szCs w:val="22"/>
        </w:rPr>
        <w:t xml:space="preserve"> para garantir integridade a nível de banco, independentemente da aplicação.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Chave Primária Composta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tabela associativa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prescricao_medicamento</w:t>
      </w:r>
      <w:r>
        <w:rPr>
          <w:rFonts w:ascii="Arial" w:cs="Arial" w:eastAsia="Arial" w:hAnsi="Arial"/>
          <w:sz w:val="22"/>
          <w:szCs w:val="22"/>
        </w:rPr>
        <w:t xml:space="preserve"> resolve a relação N:N entre prescrições e medicamentos usando chave primária composta (id_prescricao + id_medicamento), armazenando dosagem e frequência como atributos próprios do vínculo.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Regras ON DELETE / ON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DELETE RESTRICT — impede exclusão de registros referenciados (pacientes, médicos)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DELETE SET NULL — campos opcionais viram NULL se o pai for excluído (endereço, quarto)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DELETE CASCADE — exclusão em cascata para itens dependentes (prescrição → itens)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UPDATE CASCADE — atualizações propagadas automaticamente a todas as FKs</w:t>
      </w:r>
    </w:p>
    <w:p/>
    <w:p>
      <w:pPr>
        <w:pStyle w:val="Heading1"/>
        <w:pBdr>
          <w:bottom w:val="single" w:color="4a3ab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a3ab0"/>
          <w:sz w:val="32"/>
          <w:szCs w:val="32"/>
        </w:rPr>
        <w:t xml:space="preserve">7. Arquivos Gerados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b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hospital_db.sql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completo: CREATE TABLE + dados de exemplo (905 linhas)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obituario.sql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isolado do obituário com 7 INSERTs e consultas de verificação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consultas_hospital.sql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Consultas SELECT + WHERE, INNER/LEFT/RIGHT/CROSS/FULL JOIN (355 linhas)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atendimentos_por_medico.sql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Atendimentos por médico em 3 intervalos de 3 dias (166 linhas)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hospital_erd.drawio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Diagrama ERD nativo do draw.io — 15 tabelas, 24 relacionamentos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descricao_banco_hospital.docx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Este documento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Banco de Dados Hospitalar  · 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a3a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a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2026-05-20T11:03:22.490Z</dcterms:created>
  <dcterms:modified xsi:type="dcterms:W3CDTF">2026-05-20T11:03:22.490Z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