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22B3B" w14:textId="5A4B1DE7" w:rsidR="008227C5" w:rsidRDefault="008227C5" w:rsidP="009B0586">
      <w:pPr>
        <w:pStyle w:val="Title"/>
      </w:pPr>
      <w:bookmarkStart w:id="0" w:name="_Hlk126498194"/>
      <w:bookmarkEnd w:id="0"/>
      <w:r w:rsidRPr="008227C5">
        <w:t xml:space="preserve">Clinical Commissioning Group (CCG) spend on Voluntary, Community and </w:t>
      </w:r>
      <w:r w:rsidRPr="009B0586">
        <w:t>Social</w:t>
      </w:r>
      <w:r w:rsidRPr="008227C5">
        <w:t xml:space="preserve"> Enterprises (VCSEs)</w:t>
      </w:r>
      <w:r w:rsidR="00D96805">
        <w:t>, 2018/19</w:t>
      </w:r>
    </w:p>
    <w:p w14:paraId="7355084D" w14:textId="68694EEF" w:rsidR="008227C5" w:rsidRDefault="008227C5" w:rsidP="009B0586">
      <w:pPr>
        <w:spacing w:after="120"/>
      </w:pPr>
      <w:r>
        <w:t xml:space="preserve">Alex Gibson, Rod </w:t>
      </w:r>
      <w:proofErr w:type="spellStart"/>
      <w:r>
        <w:t>Sheaff</w:t>
      </w:r>
      <w:proofErr w:type="spellEnd"/>
      <w:r>
        <w:t xml:space="preserve">, </w:t>
      </w:r>
      <w:r w:rsidR="00BA0A94">
        <w:t xml:space="preserve">Mark </w:t>
      </w:r>
      <w:proofErr w:type="spellStart"/>
      <w:r w:rsidR="00BA0A94">
        <w:t>Exworthy</w:t>
      </w:r>
      <w:proofErr w:type="spellEnd"/>
      <w:r w:rsidR="00BA0A94">
        <w:t xml:space="preserve">, Angela Ellis-Payne, Veronique </w:t>
      </w:r>
      <w:proofErr w:type="spellStart"/>
      <w:r w:rsidR="00BA0A94">
        <w:t>Jochum</w:t>
      </w:r>
      <w:proofErr w:type="spellEnd"/>
      <w:r w:rsidR="00BA0A94">
        <w:t>, Joanna Stuart &amp; Chris Smith</w:t>
      </w:r>
    </w:p>
    <w:p w14:paraId="1263D7F3" w14:textId="360F02EE" w:rsidR="008227C5" w:rsidRDefault="008227C5" w:rsidP="000C2FB3">
      <w:pPr>
        <w:spacing w:after="0"/>
      </w:pPr>
      <w:r>
        <w:t xml:space="preserve">Contact: Alex </w:t>
      </w:r>
      <w:hyperlink r:id="rId11" w:history="1">
        <w:r w:rsidR="000C2FB3" w:rsidRPr="00EC19BB">
          <w:rPr>
            <w:rStyle w:val="Hyperlink"/>
          </w:rPr>
          <w:t>Gibson@plymouth.ac.uk</w:t>
        </w:r>
      </w:hyperlink>
    </w:p>
    <w:p w14:paraId="56B1393B" w14:textId="39D59515" w:rsidR="000C2FB3" w:rsidRPr="008227C5" w:rsidRDefault="000C2FB3" w:rsidP="009B0586">
      <w:pPr>
        <w:spacing w:after="120"/>
      </w:pPr>
      <w:r>
        <w:t xml:space="preserve">GitHub: </w:t>
      </w:r>
      <w:hyperlink r:id="rId12" w:history="1">
        <w:r w:rsidR="009B245D" w:rsidRPr="005D0B82">
          <w:rPr>
            <w:rStyle w:val="Hyperlink"/>
          </w:rPr>
          <w:t>https://github.com/AlexGibsonPlymouth/3SC.git</w:t>
        </w:r>
      </w:hyperlink>
      <w:r>
        <w:t xml:space="preserve"> </w:t>
      </w:r>
    </w:p>
    <w:bookmarkStart w:id="1" w:name="_Toc120452077" w:displacedByCustomXml="next"/>
    <w:sdt>
      <w:sdtPr>
        <w:rPr>
          <w:sz w:val="22"/>
          <w:szCs w:val="22"/>
        </w:rPr>
        <w:id w:val="1977792234"/>
        <w:docPartObj>
          <w:docPartGallery w:val="Table of Contents"/>
          <w:docPartUnique/>
        </w:docPartObj>
      </w:sdtPr>
      <w:sdtEndPr>
        <w:rPr>
          <w:b/>
          <w:bCs/>
          <w:noProof/>
        </w:rPr>
      </w:sdtEndPr>
      <w:sdtContent>
        <w:p w14:paraId="637EDECD" w14:textId="6C4C01E4" w:rsidR="00B33A2D" w:rsidRPr="003479E3" w:rsidRDefault="00B33A2D" w:rsidP="003E6FBC">
          <w:pPr>
            <w:pStyle w:val="TOCHeading"/>
          </w:pPr>
          <w:r w:rsidRPr="003479E3">
            <w:t>Contents</w:t>
          </w:r>
        </w:p>
        <w:p w14:paraId="351A3096" w14:textId="76776220" w:rsidR="00BA0A94" w:rsidRDefault="00B33A2D">
          <w:pPr>
            <w:pStyle w:val="TOC1"/>
            <w:tabs>
              <w:tab w:val="left" w:pos="440"/>
            </w:tabs>
            <w:rPr>
              <w:rFonts w:eastAsiaTheme="minorEastAsia"/>
              <w:lang w:eastAsia="en-GB"/>
            </w:rPr>
          </w:pPr>
          <w:r>
            <w:rPr>
              <w:noProof w:val="0"/>
            </w:rPr>
            <w:fldChar w:fldCharType="begin"/>
          </w:r>
          <w:r>
            <w:instrText xml:space="preserve"> TOC \o "1-3" \h \z \u </w:instrText>
          </w:r>
          <w:r>
            <w:rPr>
              <w:noProof w:val="0"/>
            </w:rPr>
            <w:fldChar w:fldCharType="separate"/>
          </w:r>
          <w:hyperlink w:anchor="_Toc127795198" w:history="1">
            <w:r w:rsidR="00BA0A94" w:rsidRPr="00122D36">
              <w:rPr>
                <w:rStyle w:val="Hyperlink"/>
              </w:rPr>
              <w:t>1.</w:t>
            </w:r>
            <w:r w:rsidR="00BA0A94">
              <w:rPr>
                <w:rFonts w:eastAsiaTheme="minorEastAsia"/>
                <w:lang w:eastAsia="en-GB"/>
              </w:rPr>
              <w:tab/>
            </w:r>
            <w:r w:rsidR="00BA0A94" w:rsidRPr="00122D36">
              <w:rPr>
                <w:rStyle w:val="Hyperlink"/>
              </w:rPr>
              <w:t>Introduction</w:t>
            </w:r>
            <w:r w:rsidR="00BA0A94">
              <w:rPr>
                <w:webHidden/>
              </w:rPr>
              <w:tab/>
            </w:r>
            <w:r w:rsidR="00BA0A94">
              <w:rPr>
                <w:webHidden/>
              </w:rPr>
              <w:fldChar w:fldCharType="begin"/>
            </w:r>
            <w:r w:rsidR="00BA0A94">
              <w:rPr>
                <w:webHidden/>
              </w:rPr>
              <w:instrText xml:space="preserve"> PAGEREF _Toc127795198 \h </w:instrText>
            </w:r>
            <w:r w:rsidR="00BA0A94">
              <w:rPr>
                <w:webHidden/>
              </w:rPr>
            </w:r>
            <w:r w:rsidR="00BA0A94">
              <w:rPr>
                <w:webHidden/>
              </w:rPr>
              <w:fldChar w:fldCharType="separate"/>
            </w:r>
            <w:r w:rsidR="00BA0A94">
              <w:rPr>
                <w:webHidden/>
              </w:rPr>
              <w:t>2</w:t>
            </w:r>
            <w:r w:rsidR="00BA0A94">
              <w:rPr>
                <w:webHidden/>
              </w:rPr>
              <w:fldChar w:fldCharType="end"/>
            </w:r>
          </w:hyperlink>
        </w:p>
        <w:p w14:paraId="48C6AE01" w14:textId="28CD7ABF" w:rsidR="00BA0A94" w:rsidRDefault="00000000">
          <w:pPr>
            <w:pStyle w:val="TOC1"/>
            <w:tabs>
              <w:tab w:val="left" w:pos="440"/>
            </w:tabs>
            <w:rPr>
              <w:rFonts w:eastAsiaTheme="minorEastAsia"/>
              <w:lang w:eastAsia="en-GB"/>
            </w:rPr>
          </w:pPr>
          <w:hyperlink w:anchor="_Toc127795199" w:history="1">
            <w:r w:rsidR="00BA0A94" w:rsidRPr="00122D36">
              <w:rPr>
                <w:rStyle w:val="Hyperlink"/>
              </w:rPr>
              <w:t>2.</w:t>
            </w:r>
            <w:r w:rsidR="00BA0A94">
              <w:rPr>
                <w:rFonts w:eastAsiaTheme="minorEastAsia"/>
                <w:lang w:eastAsia="en-GB"/>
              </w:rPr>
              <w:tab/>
            </w:r>
            <w:r w:rsidR="00BA0A94" w:rsidRPr="00122D36">
              <w:rPr>
                <w:rStyle w:val="Hyperlink"/>
              </w:rPr>
              <w:t>Data Collection &amp; Cleaning</w:t>
            </w:r>
            <w:r w:rsidR="00BA0A94">
              <w:rPr>
                <w:webHidden/>
              </w:rPr>
              <w:tab/>
            </w:r>
            <w:r w:rsidR="00BA0A94">
              <w:rPr>
                <w:webHidden/>
              </w:rPr>
              <w:fldChar w:fldCharType="begin"/>
            </w:r>
            <w:r w:rsidR="00BA0A94">
              <w:rPr>
                <w:webHidden/>
              </w:rPr>
              <w:instrText xml:space="preserve"> PAGEREF _Toc127795199 \h </w:instrText>
            </w:r>
            <w:r w:rsidR="00BA0A94">
              <w:rPr>
                <w:webHidden/>
              </w:rPr>
            </w:r>
            <w:r w:rsidR="00BA0A94">
              <w:rPr>
                <w:webHidden/>
              </w:rPr>
              <w:fldChar w:fldCharType="separate"/>
            </w:r>
            <w:r w:rsidR="00BA0A94">
              <w:rPr>
                <w:webHidden/>
              </w:rPr>
              <w:t>3</w:t>
            </w:r>
            <w:r w:rsidR="00BA0A94">
              <w:rPr>
                <w:webHidden/>
              </w:rPr>
              <w:fldChar w:fldCharType="end"/>
            </w:r>
          </w:hyperlink>
        </w:p>
        <w:p w14:paraId="090E2918" w14:textId="57EB1BBD" w:rsidR="00BA0A94" w:rsidRDefault="00000000">
          <w:pPr>
            <w:pStyle w:val="TOC2"/>
            <w:tabs>
              <w:tab w:val="left" w:pos="880"/>
            </w:tabs>
            <w:rPr>
              <w:rFonts w:eastAsiaTheme="minorEastAsia"/>
              <w:lang w:eastAsia="en-GB"/>
            </w:rPr>
          </w:pPr>
          <w:hyperlink w:anchor="_Toc127795200" w:history="1">
            <w:r w:rsidR="00BA0A94" w:rsidRPr="00122D36">
              <w:rPr>
                <w:rStyle w:val="Hyperlink"/>
              </w:rPr>
              <w:t>2.1.</w:t>
            </w:r>
            <w:r w:rsidR="00BA0A94">
              <w:rPr>
                <w:rFonts w:eastAsiaTheme="minorEastAsia"/>
                <w:lang w:eastAsia="en-GB"/>
              </w:rPr>
              <w:tab/>
            </w:r>
            <w:r w:rsidR="00BA0A94" w:rsidRPr="00122D36">
              <w:rPr>
                <w:rStyle w:val="Hyperlink"/>
              </w:rPr>
              <w:t>Preliminary Evaluation of CCG Accounts</w:t>
            </w:r>
            <w:r w:rsidR="00BA0A94">
              <w:rPr>
                <w:webHidden/>
              </w:rPr>
              <w:tab/>
            </w:r>
            <w:r w:rsidR="00BA0A94">
              <w:rPr>
                <w:webHidden/>
              </w:rPr>
              <w:fldChar w:fldCharType="begin"/>
            </w:r>
            <w:r w:rsidR="00BA0A94">
              <w:rPr>
                <w:webHidden/>
              </w:rPr>
              <w:instrText xml:space="preserve"> PAGEREF _Toc127795200 \h </w:instrText>
            </w:r>
            <w:r w:rsidR="00BA0A94">
              <w:rPr>
                <w:webHidden/>
              </w:rPr>
            </w:r>
            <w:r w:rsidR="00BA0A94">
              <w:rPr>
                <w:webHidden/>
              </w:rPr>
              <w:fldChar w:fldCharType="separate"/>
            </w:r>
            <w:r w:rsidR="00BA0A94">
              <w:rPr>
                <w:webHidden/>
              </w:rPr>
              <w:t>4</w:t>
            </w:r>
            <w:r w:rsidR="00BA0A94">
              <w:rPr>
                <w:webHidden/>
              </w:rPr>
              <w:fldChar w:fldCharType="end"/>
            </w:r>
          </w:hyperlink>
        </w:p>
        <w:p w14:paraId="7F4B3131" w14:textId="67D52D20" w:rsidR="00BA0A94" w:rsidRDefault="00000000">
          <w:pPr>
            <w:pStyle w:val="TOC2"/>
            <w:tabs>
              <w:tab w:val="left" w:pos="880"/>
            </w:tabs>
            <w:rPr>
              <w:rFonts w:eastAsiaTheme="minorEastAsia"/>
              <w:lang w:eastAsia="en-GB"/>
            </w:rPr>
          </w:pPr>
          <w:hyperlink w:anchor="_Toc127795201" w:history="1">
            <w:r w:rsidR="00BA0A94" w:rsidRPr="00122D36">
              <w:rPr>
                <w:rStyle w:val="Hyperlink"/>
              </w:rPr>
              <w:t>2.2.</w:t>
            </w:r>
            <w:r w:rsidR="00BA0A94">
              <w:rPr>
                <w:rFonts w:eastAsiaTheme="minorEastAsia"/>
                <w:lang w:eastAsia="en-GB"/>
              </w:rPr>
              <w:tab/>
            </w:r>
            <w:r w:rsidR="00BA0A94" w:rsidRPr="00122D36">
              <w:rPr>
                <w:rStyle w:val="Hyperlink"/>
              </w:rPr>
              <w:t>Focusing on invoices &gt;£25k</w:t>
            </w:r>
            <w:r w:rsidR="00BA0A94">
              <w:rPr>
                <w:webHidden/>
              </w:rPr>
              <w:tab/>
            </w:r>
            <w:r w:rsidR="00BA0A94">
              <w:rPr>
                <w:webHidden/>
              </w:rPr>
              <w:fldChar w:fldCharType="begin"/>
            </w:r>
            <w:r w:rsidR="00BA0A94">
              <w:rPr>
                <w:webHidden/>
              </w:rPr>
              <w:instrText xml:space="preserve"> PAGEREF _Toc127795201 \h </w:instrText>
            </w:r>
            <w:r w:rsidR="00BA0A94">
              <w:rPr>
                <w:webHidden/>
              </w:rPr>
            </w:r>
            <w:r w:rsidR="00BA0A94">
              <w:rPr>
                <w:webHidden/>
              </w:rPr>
              <w:fldChar w:fldCharType="separate"/>
            </w:r>
            <w:r w:rsidR="00BA0A94">
              <w:rPr>
                <w:webHidden/>
              </w:rPr>
              <w:t>5</w:t>
            </w:r>
            <w:r w:rsidR="00BA0A94">
              <w:rPr>
                <w:webHidden/>
              </w:rPr>
              <w:fldChar w:fldCharType="end"/>
            </w:r>
          </w:hyperlink>
        </w:p>
        <w:p w14:paraId="02AB1CD7" w14:textId="4A3F118A" w:rsidR="00BA0A94" w:rsidRDefault="00000000">
          <w:pPr>
            <w:pStyle w:val="TOC2"/>
            <w:tabs>
              <w:tab w:val="left" w:pos="880"/>
            </w:tabs>
            <w:rPr>
              <w:rFonts w:eastAsiaTheme="minorEastAsia"/>
              <w:lang w:eastAsia="en-GB"/>
            </w:rPr>
          </w:pPr>
          <w:hyperlink w:anchor="_Toc127795202" w:history="1">
            <w:r w:rsidR="00BA0A94" w:rsidRPr="00122D36">
              <w:rPr>
                <w:rStyle w:val="Hyperlink"/>
              </w:rPr>
              <w:t>2.3.</w:t>
            </w:r>
            <w:r w:rsidR="00BA0A94">
              <w:rPr>
                <w:rFonts w:eastAsiaTheme="minorEastAsia"/>
                <w:lang w:eastAsia="en-GB"/>
              </w:rPr>
              <w:tab/>
            </w:r>
            <w:r w:rsidR="00BA0A94" w:rsidRPr="00122D36">
              <w:rPr>
                <w:rStyle w:val="Hyperlink"/>
              </w:rPr>
              <w:t>Generic ‘Suppliers’ and Ad Hoc Exclusions</w:t>
            </w:r>
            <w:r w:rsidR="00BA0A94">
              <w:rPr>
                <w:webHidden/>
              </w:rPr>
              <w:tab/>
            </w:r>
            <w:r w:rsidR="00BA0A94">
              <w:rPr>
                <w:webHidden/>
              </w:rPr>
              <w:fldChar w:fldCharType="begin"/>
            </w:r>
            <w:r w:rsidR="00BA0A94">
              <w:rPr>
                <w:webHidden/>
              </w:rPr>
              <w:instrText xml:space="preserve"> PAGEREF _Toc127795202 \h </w:instrText>
            </w:r>
            <w:r w:rsidR="00BA0A94">
              <w:rPr>
                <w:webHidden/>
              </w:rPr>
            </w:r>
            <w:r w:rsidR="00BA0A94">
              <w:rPr>
                <w:webHidden/>
              </w:rPr>
              <w:fldChar w:fldCharType="separate"/>
            </w:r>
            <w:r w:rsidR="00BA0A94">
              <w:rPr>
                <w:webHidden/>
              </w:rPr>
              <w:t>6</w:t>
            </w:r>
            <w:r w:rsidR="00BA0A94">
              <w:rPr>
                <w:webHidden/>
              </w:rPr>
              <w:fldChar w:fldCharType="end"/>
            </w:r>
          </w:hyperlink>
        </w:p>
        <w:p w14:paraId="797E1747" w14:textId="34F40AEF" w:rsidR="00BA0A94" w:rsidRDefault="00000000">
          <w:pPr>
            <w:pStyle w:val="TOC2"/>
            <w:tabs>
              <w:tab w:val="left" w:pos="880"/>
            </w:tabs>
            <w:rPr>
              <w:rFonts w:eastAsiaTheme="minorEastAsia"/>
              <w:lang w:eastAsia="en-GB"/>
            </w:rPr>
          </w:pPr>
          <w:hyperlink w:anchor="_Toc127795203" w:history="1">
            <w:r w:rsidR="00BA0A94" w:rsidRPr="00122D36">
              <w:rPr>
                <w:rStyle w:val="Hyperlink"/>
              </w:rPr>
              <w:t>2.4.</w:t>
            </w:r>
            <w:r w:rsidR="00BA0A94">
              <w:rPr>
                <w:rFonts w:eastAsiaTheme="minorEastAsia"/>
                <w:lang w:eastAsia="en-GB"/>
              </w:rPr>
              <w:tab/>
            </w:r>
            <w:r w:rsidR="00BA0A94" w:rsidRPr="00122D36">
              <w:rPr>
                <w:rStyle w:val="Hyperlink"/>
              </w:rPr>
              <w:t>Recognising the potential impact of using data for 2018/19</w:t>
            </w:r>
            <w:r w:rsidR="00BA0A94">
              <w:rPr>
                <w:webHidden/>
              </w:rPr>
              <w:tab/>
            </w:r>
            <w:r w:rsidR="00BA0A94">
              <w:rPr>
                <w:webHidden/>
              </w:rPr>
              <w:fldChar w:fldCharType="begin"/>
            </w:r>
            <w:r w:rsidR="00BA0A94">
              <w:rPr>
                <w:webHidden/>
              </w:rPr>
              <w:instrText xml:space="preserve"> PAGEREF _Toc127795203 \h </w:instrText>
            </w:r>
            <w:r w:rsidR="00BA0A94">
              <w:rPr>
                <w:webHidden/>
              </w:rPr>
            </w:r>
            <w:r w:rsidR="00BA0A94">
              <w:rPr>
                <w:webHidden/>
              </w:rPr>
              <w:fldChar w:fldCharType="separate"/>
            </w:r>
            <w:r w:rsidR="00BA0A94">
              <w:rPr>
                <w:webHidden/>
              </w:rPr>
              <w:t>6</w:t>
            </w:r>
            <w:r w:rsidR="00BA0A94">
              <w:rPr>
                <w:webHidden/>
              </w:rPr>
              <w:fldChar w:fldCharType="end"/>
            </w:r>
          </w:hyperlink>
        </w:p>
        <w:p w14:paraId="75500151" w14:textId="5219A471" w:rsidR="00BA0A94" w:rsidRDefault="00000000">
          <w:pPr>
            <w:pStyle w:val="TOC2"/>
            <w:tabs>
              <w:tab w:val="left" w:pos="880"/>
            </w:tabs>
            <w:rPr>
              <w:rFonts w:eastAsiaTheme="minorEastAsia"/>
              <w:lang w:eastAsia="en-GB"/>
            </w:rPr>
          </w:pPr>
          <w:hyperlink w:anchor="_Toc127795204" w:history="1">
            <w:r w:rsidR="00BA0A94" w:rsidRPr="00122D36">
              <w:rPr>
                <w:rStyle w:val="Hyperlink"/>
              </w:rPr>
              <w:t>2.5.</w:t>
            </w:r>
            <w:r w:rsidR="00BA0A94">
              <w:rPr>
                <w:rFonts w:eastAsiaTheme="minorEastAsia"/>
                <w:lang w:eastAsia="en-GB"/>
              </w:rPr>
              <w:tab/>
            </w:r>
            <w:r w:rsidR="00BA0A94" w:rsidRPr="00122D36">
              <w:rPr>
                <w:rStyle w:val="Hyperlink"/>
              </w:rPr>
              <w:t>Recognising potential variation in the comprehensiveness of the CCG accounts</w:t>
            </w:r>
            <w:r w:rsidR="00BA0A94">
              <w:rPr>
                <w:webHidden/>
              </w:rPr>
              <w:tab/>
            </w:r>
            <w:r w:rsidR="00BA0A94">
              <w:rPr>
                <w:webHidden/>
              </w:rPr>
              <w:fldChar w:fldCharType="begin"/>
            </w:r>
            <w:r w:rsidR="00BA0A94">
              <w:rPr>
                <w:webHidden/>
              </w:rPr>
              <w:instrText xml:space="preserve"> PAGEREF _Toc127795204 \h </w:instrText>
            </w:r>
            <w:r w:rsidR="00BA0A94">
              <w:rPr>
                <w:webHidden/>
              </w:rPr>
            </w:r>
            <w:r w:rsidR="00BA0A94">
              <w:rPr>
                <w:webHidden/>
              </w:rPr>
              <w:fldChar w:fldCharType="separate"/>
            </w:r>
            <w:r w:rsidR="00BA0A94">
              <w:rPr>
                <w:webHidden/>
              </w:rPr>
              <w:t>7</w:t>
            </w:r>
            <w:r w:rsidR="00BA0A94">
              <w:rPr>
                <w:webHidden/>
              </w:rPr>
              <w:fldChar w:fldCharType="end"/>
            </w:r>
          </w:hyperlink>
        </w:p>
        <w:p w14:paraId="194F8161" w14:textId="28B06F50" w:rsidR="00BA0A94" w:rsidRDefault="00000000">
          <w:pPr>
            <w:pStyle w:val="TOC1"/>
            <w:tabs>
              <w:tab w:val="left" w:pos="440"/>
            </w:tabs>
            <w:rPr>
              <w:rFonts w:eastAsiaTheme="minorEastAsia"/>
              <w:lang w:eastAsia="en-GB"/>
            </w:rPr>
          </w:pPr>
          <w:hyperlink w:anchor="_Toc127795205" w:history="1">
            <w:r w:rsidR="00BA0A94" w:rsidRPr="00122D36">
              <w:rPr>
                <w:rStyle w:val="Hyperlink"/>
              </w:rPr>
              <w:t>3.</w:t>
            </w:r>
            <w:r w:rsidR="00BA0A94">
              <w:rPr>
                <w:rFonts w:eastAsiaTheme="minorEastAsia"/>
                <w:lang w:eastAsia="en-GB"/>
              </w:rPr>
              <w:tab/>
            </w:r>
            <w:r w:rsidR="00BA0A94" w:rsidRPr="00122D36">
              <w:rPr>
                <w:rStyle w:val="Hyperlink"/>
              </w:rPr>
              <w:t>Identifying Suppliers: The Workflow</w:t>
            </w:r>
            <w:r w:rsidR="00BA0A94">
              <w:rPr>
                <w:webHidden/>
              </w:rPr>
              <w:tab/>
            </w:r>
            <w:r w:rsidR="00BA0A94">
              <w:rPr>
                <w:webHidden/>
              </w:rPr>
              <w:fldChar w:fldCharType="begin"/>
            </w:r>
            <w:r w:rsidR="00BA0A94">
              <w:rPr>
                <w:webHidden/>
              </w:rPr>
              <w:instrText xml:space="preserve"> PAGEREF _Toc127795205 \h </w:instrText>
            </w:r>
            <w:r w:rsidR="00BA0A94">
              <w:rPr>
                <w:webHidden/>
              </w:rPr>
            </w:r>
            <w:r w:rsidR="00BA0A94">
              <w:rPr>
                <w:webHidden/>
              </w:rPr>
              <w:fldChar w:fldCharType="separate"/>
            </w:r>
            <w:r w:rsidR="00BA0A94">
              <w:rPr>
                <w:webHidden/>
              </w:rPr>
              <w:t>9</w:t>
            </w:r>
            <w:r w:rsidR="00BA0A94">
              <w:rPr>
                <w:webHidden/>
              </w:rPr>
              <w:fldChar w:fldCharType="end"/>
            </w:r>
          </w:hyperlink>
        </w:p>
        <w:p w14:paraId="1A2330F2" w14:textId="26FDFE4D" w:rsidR="00BA0A94" w:rsidRDefault="00000000">
          <w:pPr>
            <w:pStyle w:val="TOC1"/>
            <w:tabs>
              <w:tab w:val="left" w:pos="440"/>
            </w:tabs>
            <w:rPr>
              <w:rFonts w:eastAsiaTheme="minorEastAsia"/>
              <w:lang w:eastAsia="en-GB"/>
            </w:rPr>
          </w:pPr>
          <w:hyperlink w:anchor="_Toc127795206" w:history="1">
            <w:r w:rsidR="00BA0A94" w:rsidRPr="00122D36">
              <w:rPr>
                <w:rStyle w:val="Hyperlink"/>
              </w:rPr>
              <w:t>4.</w:t>
            </w:r>
            <w:r w:rsidR="00BA0A94">
              <w:rPr>
                <w:rFonts w:eastAsiaTheme="minorEastAsia"/>
                <w:lang w:eastAsia="en-GB"/>
              </w:rPr>
              <w:tab/>
            </w:r>
            <w:r w:rsidR="00BA0A94" w:rsidRPr="00122D36">
              <w:rPr>
                <w:rStyle w:val="Hyperlink"/>
              </w:rPr>
              <w:t>Evaluation of manual interrogation/extraction of expenditure data</w:t>
            </w:r>
            <w:r w:rsidR="00BA0A94">
              <w:rPr>
                <w:webHidden/>
              </w:rPr>
              <w:tab/>
            </w:r>
            <w:r w:rsidR="00BA0A94">
              <w:rPr>
                <w:webHidden/>
              </w:rPr>
              <w:fldChar w:fldCharType="begin"/>
            </w:r>
            <w:r w:rsidR="00BA0A94">
              <w:rPr>
                <w:webHidden/>
              </w:rPr>
              <w:instrText xml:space="preserve"> PAGEREF _Toc127795206 \h </w:instrText>
            </w:r>
            <w:r w:rsidR="00BA0A94">
              <w:rPr>
                <w:webHidden/>
              </w:rPr>
            </w:r>
            <w:r w:rsidR="00BA0A94">
              <w:rPr>
                <w:webHidden/>
              </w:rPr>
              <w:fldChar w:fldCharType="separate"/>
            </w:r>
            <w:r w:rsidR="00BA0A94">
              <w:rPr>
                <w:webHidden/>
              </w:rPr>
              <w:t>11</w:t>
            </w:r>
            <w:r w:rsidR="00BA0A94">
              <w:rPr>
                <w:webHidden/>
              </w:rPr>
              <w:fldChar w:fldCharType="end"/>
            </w:r>
          </w:hyperlink>
        </w:p>
        <w:p w14:paraId="53196B0F" w14:textId="2FB7E485" w:rsidR="00BA0A94" w:rsidRDefault="00000000">
          <w:pPr>
            <w:pStyle w:val="TOC1"/>
            <w:tabs>
              <w:tab w:val="left" w:pos="440"/>
            </w:tabs>
            <w:rPr>
              <w:rFonts w:eastAsiaTheme="minorEastAsia"/>
              <w:lang w:eastAsia="en-GB"/>
            </w:rPr>
          </w:pPr>
          <w:hyperlink w:anchor="_Toc127795207" w:history="1">
            <w:r w:rsidR="00BA0A94" w:rsidRPr="00122D36">
              <w:rPr>
                <w:rStyle w:val="Hyperlink"/>
              </w:rPr>
              <w:t>5.</w:t>
            </w:r>
            <w:r w:rsidR="00BA0A94">
              <w:rPr>
                <w:rFonts w:eastAsiaTheme="minorEastAsia"/>
                <w:lang w:eastAsia="en-GB"/>
              </w:rPr>
              <w:tab/>
            </w:r>
            <w:r w:rsidR="00BA0A94" w:rsidRPr="00122D36">
              <w:rPr>
                <w:rStyle w:val="Hyperlink"/>
              </w:rPr>
              <w:t>Identifying Suppliers: Establishing VCSE Status</w:t>
            </w:r>
            <w:r w:rsidR="00BA0A94">
              <w:rPr>
                <w:webHidden/>
              </w:rPr>
              <w:tab/>
            </w:r>
            <w:r w:rsidR="00BA0A94">
              <w:rPr>
                <w:webHidden/>
              </w:rPr>
              <w:fldChar w:fldCharType="begin"/>
            </w:r>
            <w:r w:rsidR="00BA0A94">
              <w:rPr>
                <w:webHidden/>
              </w:rPr>
              <w:instrText xml:space="preserve"> PAGEREF _Toc127795207 \h </w:instrText>
            </w:r>
            <w:r w:rsidR="00BA0A94">
              <w:rPr>
                <w:webHidden/>
              </w:rPr>
            </w:r>
            <w:r w:rsidR="00BA0A94">
              <w:rPr>
                <w:webHidden/>
              </w:rPr>
              <w:fldChar w:fldCharType="separate"/>
            </w:r>
            <w:r w:rsidR="00BA0A94">
              <w:rPr>
                <w:webHidden/>
              </w:rPr>
              <w:t>12</w:t>
            </w:r>
            <w:r w:rsidR="00BA0A94">
              <w:rPr>
                <w:webHidden/>
              </w:rPr>
              <w:fldChar w:fldCharType="end"/>
            </w:r>
          </w:hyperlink>
        </w:p>
        <w:p w14:paraId="112D12AB" w14:textId="55D0DB62" w:rsidR="00BA0A94" w:rsidRDefault="00000000">
          <w:pPr>
            <w:pStyle w:val="TOC1"/>
            <w:tabs>
              <w:tab w:val="left" w:pos="440"/>
            </w:tabs>
            <w:rPr>
              <w:rFonts w:eastAsiaTheme="minorEastAsia"/>
              <w:lang w:eastAsia="en-GB"/>
            </w:rPr>
          </w:pPr>
          <w:hyperlink w:anchor="_Toc127795208" w:history="1">
            <w:r w:rsidR="00BA0A94" w:rsidRPr="00122D36">
              <w:rPr>
                <w:rStyle w:val="Hyperlink"/>
              </w:rPr>
              <w:t>6.</w:t>
            </w:r>
            <w:r w:rsidR="00BA0A94">
              <w:rPr>
                <w:rFonts w:eastAsiaTheme="minorEastAsia"/>
                <w:lang w:eastAsia="en-GB"/>
              </w:rPr>
              <w:tab/>
            </w:r>
            <w:r w:rsidR="00BA0A94" w:rsidRPr="00122D36">
              <w:rPr>
                <w:rStyle w:val="Hyperlink"/>
              </w:rPr>
              <w:t>National Overview of CCG Spending on VCSE Suppliers</w:t>
            </w:r>
            <w:r w:rsidR="00BA0A94">
              <w:rPr>
                <w:webHidden/>
              </w:rPr>
              <w:tab/>
            </w:r>
            <w:r w:rsidR="00BA0A94">
              <w:rPr>
                <w:webHidden/>
              </w:rPr>
              <w:fldChar w:fldCharType="begin"/>
            </w:r>
            <w:r w:rsidR="00BA0A94">
              <w:rPr>
                <w:webHidden/>
              </w:rPr>
              <w:instrText xml:space="preserve"> PAGEREF _Toc127795208 \h </w:instrText>
            </w:r>
            <w:r w:rsidR="00BA0A94">
              <w:rPr>
                <w:webHidden/>
              </w:rPr>
            </w:r>
            <w:r w:rsidR="00BA0A94">
              <w:rPr>
                <w:webHidden/>
              </w:rPr>
              <w:fldChar w:fldCharType="separate"/>
            </w:r>
            <w:r w:rsidR="00BA0A94">
              <w:rPr>
                <w:webHidden/>
              </w:rPr>
              <w:t>14</w:t>
            </w:r>
            <w:r w:rsidR="00BA0A94">
              <w:rPr>
                <w:webHidden/>
              </w:rPr>
              <w:fldChar w:fldCharType="end"/>
            </w:r>
          </w:hyperlink>
        </w:p>
        <w:p w14:paraId="0931D309" w14:textId="31FF7518" w:rsidR="00BA0A94" w:rsidRDefault="00000000">
          <w:pPr>
            <w:pStyle w:val="TOC1"/>
            <w:tabs>
              <w:tab w:val="left" w:pos="440"/>
            </w:tabs>
            <w:rPr>
              <w:rFonts w:eastAsiaTheme="minorEastAsia"/>
              <w:lang w:eastAsia="en-GB"/>
            </w:rPr>
          </w:pPr>
          <w:hyperlink w:anchor="_Toc127795209" w:history="1">
            <w:r w:rsidR="00BA0A94" w:rsidRPr="00122D36">
              <w:rPr>
                <w:rStyle w:val="Hyperlink"/>
              </w:rPr>
              <w:t>7.</w:t>
            </w:r>
            <w:r w:rsidR="00BA0A94">
              <w:rPr>
                <w:rFonts w:eastAsiaTheme="minorEastAsia"/>
                <w:lang w:eastAsia="en-GB"/>
              </w:rPr>
              <w:tab/>
            </w:r>
            <w:r w:rsidR="00BA0A94" w:rsidRPr="00122D36">
              <w:rPr>
                <w:rStyle w:val="Hyperlink"/>
              </w:rPr>
              <w:t>CCG Variation in Spending on VCSE Suppliers</w:t>
            </w:r>
            <w:r w:rsidR="00BA0A94">
              <w:rPr>
                <w:webHidden/>
              </w:rPr>
              <w:tab/>
            </w:r>
            <w:r w:rsidR="00BA0A94">
              <w:rPr>
                <w:webHidden/>
              </w:rPr>
              <w:fldChar w:fldCharType="begin"/>
            </w:r>
            <w:r w:rsidR="00BA0A94">
              <w:rPr>
                <w:webHidden/>
              </w:rPr>
              <w:instrText xml:space="preserve"> PAGEREF _Toc127795209 \h </w:instrText>
            </w:r>
            <w:r w:rsidR="00BA0A94">
              <w:rPr>
                <w:webHidden/>
              </w:rPr>
            </w:r>
            <w:r w:rsidR="00BA0A94">
              <w:rPr>
                <w:webHidden/>
              </w:rPr>
              <w:fldChar w:fldCharType="separate"/>
            </w:r>
            <w:r w:rsidR="00BA0A94">
              <w:rPr>
                <w:webHidden/>
              </w:rPr>
              <w:t>16</w:t>
            </w:r>
            <w:r w:rsidR="00BA0A94">
              <w:rPr>
                <w:webHidden/>
              </w:rPr>
              <w:fldChar w:fldCharType="end"/>
            </w:r>
          </w:hyperlink>
        </w:p>
        <w:p w14:paraId="5779BA7D" w14:textId="004CB6C1" w:rsidR="00BA0A94" w:rsidRDefault="00000000">
          <w:pPr>
            <w:pStyle w:val="TOC1"/>
            <w:tabs>
              <w:tab w:val="left" w:pos="440"/>
            </w:tabs>
            <w:rPr>
              <w:rFonts w:eastAsiaTheme="minorEastAsia"/>
              <w:lang w:eastAsia="en-GB"/>
            </w:rPr>
          </w:pPr>
          <w:hyperlink w:anchor="_Toc127795210" w:history="1">
            <w:r w:rsidR="00BA0A94" w:rsidRPr="00122D36">
              <w:rPr>
                <w:rStyle w:val="Hyperlink"/>
              </w:rPr>
              <w:t>8.</w:t>
            </w:r>
            <w:r w:rsidR="00BA0A94">
              <w:rPr>
                <w:rFonts w:eastAsiaTheme="minorEastAsia"/>
                <w:lang w:eastAsia="en-GB"/>
              </w:rPr>
              <w:tab/>
            </w:r>
            <w:r w:rsidR="00BA0A94" w:rsidRPr="00122D36">
              <w:rPr>
                <w:rStyle w:val="Hyperlink"/>
              </w:rPr>
              <w:t>Shortlisting Potential Study Sites for the 3SC Project</w:t>
            </w:r>
            <w:r w:rsidR="00BA0A94">
              <w:rPr>
                <w:webHidden/>
              </w:rPr>
              <w:tab/>
            </w:r>
            <w:r w:rsidR="00BA0A94">
              <w:rPr>
                <w:webHidden/>
              </w:rPr>
              <w:fldChar w:fldCharType="begin"/>
            </w:r>
            <w:r w:rsidR="00BA0A94">
              <w:rPr>
                <w:webHidden/>
              </w:rPr>
              <w:instrText xml:space="preserve"> PAGEREF _Toc127795210 \h </w:instrText>
            </w:r>
            <w:r w:rsidR="00BA0A94">
              <w:rPr>
                <w:webHidden/>
              </w:rPr>
            </w:r>
            <w:r w:rsidR="00BA0A94">
              <w:rPr>
                <w:webHidden/>
              </w:rPr>
              <w:fldChar w:fldCharType="separate"/>
            </w:r>
            <w:r w:rsidR="00BA0A94">
              <w:rPr>
                <w:webHidden/>
              </w:rPr>
              <w:t>20</w:t>
            </w:r>
            <w:r w:rsidR="00BA0A94">
              <w:rPr>
                <w:webHidden/>
              </w:rPr>
              <w:fldChar w:fldCharType="end"/>
            </w:r>
          </w:hyperlink>
        </w:p>
        <w:p w14:paraId="73F42C6B" w14:textId="163A8069" w:rsidR="00BA0A94" w:rsidRDefault="00000000">
          <w:pPr>
            <w:pStyle w:val="TOC1"/>
            <w:tabs>
              <w:tab w:val="left" w:pos="440"/>
            </w:tabs>
            <w:rPr>
              <w:rFonts w:eastAsiaTheme="minorEastAsia"/>
              <w:lang w:eastAsia="en-GB"/>
            </w:rPr>
          </w:pPr>
          <w:hyperlink w:anchor="_Toc127795211" w:history="1">
            <w:r w:rsidR="00BA0A94" w:rsidRPr="00122D36">
              <w:rPr>
                <w:rStyle w:val="Hyperlink"/>
              </w:rPr>
              <w:t>9.</w:t>
            </w:r>
            <w:r w:rsidR="00BA0A94">
              <w:rPr>
                <w:rFonts w:eastAsiaTheme="minorEastAsia"/>
                <w:lang w:eastAsia="en-GB"/>
              </w:rPr>
              <w:tab/>
            </w:r>
            <w:r w:rsidR="00BA0A94" w:rsidRPr="00122D36">
              <w:rPr>
                <w:rStyle w:val="Hyperlink"/>
              </w:rPr>
              <w:t>Improving the “Over-Threshold” expenditure accounts for Health Service Research</w:t>
            </w:r>
            <w:r w:rsidR="00BA0A94">
              <w:rPr>
                <w:webHidden/>
              </w:rPr>
              <w:tab/>
            </w:r>
            <w:r w:rsidR="00BA0A94">
              <w:rPr>
                <w:webHidden/>
              </w:rPr>
              <w:fldChar w:fldCharType="begin"/>
            </w:r>
            <w:r w:rsidR="00BA0A94">
              <w:rPr>
                <w:webHidden/>
              </w:rPr>
              <w:instrText xml:space="preserve"> PAGEREF _Toc127795211 \h </w:instrText>
            </w:r>
            <w:r w:rsidR="00BA0A94">
              <w:rPr>
                <w:webHidden/>
              </w:rPr>
            </w:r>
            <w:r w:rsidR="00BA0A94">
              <w:rPr>
                <w:webHidden/>
              </w:rPr>
              <w:fldChar w:fldCharType="separate"/>
            </w:r>
            <w:r w:rsidR="00BA0A94">
              <w:rPr>
                <w:webHidden/>
              </w:rPr>
              <w:t>22</w:t>
            </w:r>
            <w:r w:rsidR="00BA0A94">
              <w:rPr>
                <w:webHidden/>
              </w:rPr>
              <w:fldChar w:fldCharType="end"/>
            </w:r>
          </w:hyperlink>
        </w:p>
        <w:p w14:paraId="15364CEB" w14:textId="7958EAFF" w:rsidR="00B33A2D" w:rsidRDefault="00B33A2D" w:rsidP="009B0586">
          <w:pPr>
            <w:spacing w:after="0" w:line="240" w:lineRule="auto"/>
          </w:pPr>
          <w:r>
            <w:rPr>
              <w:b/>
              <w:bCs/>
              <w:noProof/>
            </w:rPr>
            <w:fldChar w:fldCharType="end"/>
          </w:r>
        </w:p>
      </w:sdtContent>
    </w:sdt>
    <w:p w14:paraId="7CB89D61" w14:textId="3B82F217" w:rsidR="009B0586" w:rsidRPr="009B0586" w:rsidRDefault="009B0586" w:rsidP="003E6FBC">
      <w:pPr>
        <w:pStyle w:val="TOCHeading"/>
      </w:pPr>
      <w:r w:rsidRPr="009B0586">
        <w:t>Tables</w:t>
      </w:r>
    </w:p>
    <w:p w14:paraId="1ECEC774" w14:textId="4A86BED8" w:rsidR="00BA0A94" w:rsidRDefault="009B0586">
      <w:pPr>
        <w:pStyle w:val="TableofFigures"/>
        <w:rPr>
          <w:rFonts w:eastAsiaTheme="minorEastAsia"/>
          <w:lang w:eastAsia="en-GB"/>
        </w:rPr>
      </w:pPr>
      <w:r>
        <w:fldChar w:fldCharType="begin"/>
      </w:r>
      <w:r>
        <w:instrText xml:space="preserve"> TOC \h \z \c "Table" </w:instrText>
      </w:r>
      <w:r>
        <w:fldChar w:fldCharType="separate"/>
      </w:r>
      <w:hyperlink w:anchor="_Toc127795212" w:history="1">
        <w:r w:rsidR="00BA0A94" w:rsidRPr="005A450C">
          <w:rPr>
            <w:rStyle w:val="Hyperlink"/>
          </w:rPr>
          <w:t>Table 1: Number of Commissioning Bodies (CCGs and ICSs) by Year</w:t>
        </w:r>
        <w:r w:rsidR="00BA0A94">
          <w:rPr>
            <w:webHidden/>
          </w:rPr>
          <w:tab/>
        </w:r>
        <w:r w:rsidR="00BA0A94">
          <w:rPr>
            <w:webHidden/>
          </w:rPr>
          <w:fldChar w:fldCharType="begin"/>
        </w:r>
        <w:r w:rsidR="00BA0A94">
          <w:rPr>
            <w:webHidden/>
          </w:rPr>
          <w:instrText xml:space="preserve"> PAGEREF _Toc127795212 \h </w:instrText>
        </w:r>
        <w:r w:rsidR="00BA0A94">
          <w:rPr>
            <w:webHidden/>
          </w:rPr>
        </w:r>
        <w:r w:rsidR="00BA0A94">
          <w:rPr>
            <w:webHidden/>
          </w:rPr>
          <w:fldChar w:fldCharType="separate"/>
        </w:r>
        <w:r w:rsidR="00BA0A94">
          <w:rPr>
            <w:webHidden/>
          </w:rPr>
          <w:t>3</w:t>
        </w:r>
        <w:r w:rsidR="00BA0A94">
          <w:rPr>
            <w:webHidden/>
          </w:rPr>
          <w:fldChar w:fldCharType="end"/>
        </w:r>
      </w:hyperlink>
    </w:p>
    <w:p w14:paraId="7DC6737F" w14:textId="1CFF898C" w:rsidR="00BA0A94" w:rsidRDefault="00000000">
      <w:pPr>
        <w:pStyle w:val="TableofFigures"/>
        <w:rPr>
          <w:rFonts w:eastAsiaTheme="minorEastAsia"/>
          <w:lang w:eastAsia="en-GB"/>
        </w:rPr>
      </w:pPr>
      <w:hyperlink w:anchor="_Toc127795213" w:history="1">
        <w:r w:rsidR="00BA0A94" w:rsidRPr="005A450C">
          <w:rPr>
            <w:rStyle w:val="Hyperlink"/>
          </w:rPr>
          <w:t>Table 2: Availability of CCG “over-threshold” accounts and resulting Analytical Dataset</w:t>
        </w:r>
        <w:r w:rsidR="00BA0A94">
          <w:rPr>
            <w:webHidden/>
          </w:rPr>
          <w:tab/>
        </w:r>
        <w:r w:rsidR="00BA0A94">
          <w:rPr>
            <w:webHidden/>
          </w:rPr>
          <w:fldChar w:fldCharType="begin"/>
        </w:r>
        <w:r w:rsidR="00BA0A94">
          <w:rPr>
            <w:webHidden/>
          </w:rPr>
          <w:instrText xml:space="preserve"> PAGEREF _Toc127795213 \h </w:instrText>
        </w:r>
        <w:r w:rsidR="00BA0A94">
          <w:rPr>
            <w:webHidden/>
          </w:rPr>
        </w:r>
        <w:r w:rsidR="00BA0A94">
          <w:rPr>
            <w:webHidden/>
          </w:rPr>
          <w:fldChar w:fldCharType="separate"/>
        </w:r>
        <w:r w:rsidR="00BA0A94">
          <w:rPr>
            <w:webHidden/>
          </w:rPr>
          <w:t>5</w:t>
        </w:r>
        <w:r w:rsidR="00BA0A94">
          <w:rPr>
            <w:webHidden/>
          </w:rPr>
          <w:fldChar w:fldCharType="end"/>
        </w:r>
      </w:hyperlink>
    </w:p>
    <w:p w14:paraId="4149D57C" w14:textId="597E0459" w:rsidR="00BA0A94" w:rsidRDefault="00000000">
      <w:pPr>
        <w:pStyle w:val="TableofFigures"/>
        <w:rPr>
          <w:rFonts w:eastAsiaTheme="minorEastAsia"/>
          <w:lang w:eastAsia="en-GB"/>
        </w:rPr>
      </w:pPr>
      <w:hyperlink w:anchor="_Toc127795214" w:history="1">
        <w:r w:rsidR="00BA0A94" w:rsidRPr="005A450C">
          <w:rPr>
            <w:rStyle w:val="Hyperlink"/>
          </w:rPr>
          <w:t>Table 3: Count of suppliers by category and CC/CH Registration</w:t>
        </w:r>
        <w:r w:rsidR="00BA0A94">
          <w:rPr>
            <w:webHidden/>
          </w:rPr>
          <w:tab/>
        </w:r>
        <w:r w:rsidR="00BA0A94">
          <w:rPr>
            <w:webHidden/>
          </w:rPr>
          <w:fldChar w:fldCharType="begin"/>
        </w:r>
        <w:r w:rsidR="00BA0A94">
          <w:rPr>
            <w:webHidden/>
          </w:rPr>
          <w:instrText xml:space="preserve"> PAGEREF _Toc127795214 \h </w:instrText>
        </w:r>
        <w:r w:rsidR="00BA0A94">
          <w:rPr>
            <w:webHidden/>
          </w:rPr>
        </w:r>
        <w:r w:rsidR="00BA0A94">
          <w:rPr>
            <w:webHidden/>
          </w:rPr>
          <w:fldChar w:fldCharType="separate"/>
        </w:r>
        <w:r w:rsidR="00BA0A94">
          <w:rPr>
            <w:webHidden/>
          </w:rPr>
          <w:t>10</w:t>
        </w:r>
        <w:r w:rsidR="00BA0A94">
          <w:rPr>
            <w:webHidden/>
          </w:rPr>
          <w:fldChar w:fldCharType="end"/>
        </w:r>
      </w:hyperlink>
    </w:p>
    <w:p w14:paraId="488FC3BF" w14:textId="31DD9114" w:rsidR="00BA0A94" w:rsidRDefault="00000000">
      <w:pPr>
        <w:pStyle w:val="TableofFigures"/>
        <w:rPr>
          <w:rFonts w:eastAsiaTheme="minorEastAsia"/>
          <w:lang w:eastAsia="en-GB"/>
        </w:rPr>
      </w:pPr>
      <w:hyperlink w:anchor="_Toc127795215" w:history="1">
        <w:r w:rsidR="00BA0A94" w:rsidRPr="005A450C">
          <w:rPr>
            <w:rStyle w:val="Hyperlink"/>
          </w:rPr>
          <w:t>Table 4: Expenditure (£millions) on suppliers by category and CC/CH Registration</w:t>
        </w:r>
        <w:r w:rsidR="00BA0A94">
          <w:rPr>
            <w:webHidden/>
          </w:rPr>
          <w:tab/>
        </w:r>
        <w:r w:rsidR="00BA0A94">
          <w:rPr>
            <w:webHidden/>
          </w:rPr>
          <w:fldChar w:fldCharType="begin"/>
        </w:r>
        <w:r w:rsidR="00BA0A94">
          <w:rPr>
            <w:webHidden/>
          </w:rPr>
          <w:instrText xml:space="preserve"> PAGEREF _Toc127795215 \h </w:instrText>
        </w:r>
        <w:r w:rsidR="00BA0A94">
          <w:rPr>
            <w:webHidden/>
          </w:rPr>
        </w:r>
        <w:r w:rsidR="00BA0A94">
          <w:rPr>
            <w:webHidden/>
          </w:rPr>
          <w:fldChar w:fldCharType="separate"/>
        </w:r>
        <w:r w:rsidR="00BA0A94">
          <w:rPr>
            <w:webHidden/>
          </w:rPr>
          <w:t>11</w:t>
        </w:r>
        <w:r w:rsidR="00BA0A94">
          <w:rPr>
            <w:webHidden/>
          </w:rPr>
          <w:fldChar w:fldCharType="end"/>
        </w:r>
      </w:hyperlink>
    </w:p>
    <w:p w14:paraId="4E555E16" w14:textId="29D7B238" w:rsidR="00BA0A94" w:rsidRDefault="00000000">
      <w:pPr>
        <w:pStyle w:val="TableofFigures"/>
        <w:rPr>
          <w:rFonts w:eastAsiaTheme="minorEastAsia"/>
          <w:lang w:eastAsia="en-GB"/>
        </w:rPr>
      </w:pPr>
      <w:hyperlink w:anchor="_Toc127795216" w:history="1">
        <w:r w:rsidR="00BA0A94" w:rsidRPr="005A450C">
          <w:rPr>
            <w:rStyle w:val="Hyperlink"/>
          </w:rPr>
          <w:t>Table 5: Comparison of data collected by the ‘NHS Spend’ and 3SC</w:t>
        </w:r>
        <w:r w:rsidR="00BA0A94" w:rsidRPr="005A450C">
          <w:rPr>
            <w:rStyle w:val="Hyperlink"/>
            <w:vertAlign w:val="superscript"/>
          </w:rPr>
          <w:t>†</w:t>
        </w:r>
        <w:r w:rsidR="00BA0A94" w:rsidRPr="005A450C">
          <w:rPr>
            <w:rStyle w:val="Hyperlink"/>
          </w:rPr>
          <w:t xml:space="preserve"> projects</w:t>
        </w:r>
        <w:r w:rsidR="00BA0A94">
          <w:rPr>
            <w:webHidden/>
          </w:rPr>
          <w:tab/>
        </w:r>
        <w:r w:rsidR="00BA0A94">
          <w:rPr>
            <w:webHidden/>
          </w:rPr>
          <w:fldChar w:fldCharType="begin"/>
        </w:r>
        <w:r w:rsidR="00BA0A94">
          <w:rPr>
            <w:webHidden/>
          </w:rPr>
          <w:instrText xml:space="preserve"> PAGEREF _Toc127795216 \h </w:instrText>
        </w:r>
        <w:r w:rsidR="00BA0A94">
          <w:rPr>
            <w:webHidden/>
          </w:rPr>
        </w:r>
        <w:r w:rsidR="00BA0A94">
          <w:rPr>
            <w:webHidden/>
          </w:rPr>
          <w:fldChar w:fldCharType="separate"/>
        </w:r>
        <w:r w:rsidR="00BA0A94">
          <w:rPr>
            <w:webHidden/>
          </w:rPr>
          <w:t>12</w:t>
        </w:r>
        <w:r w:rsidR="00BA0A94">
          <w:rPr>
            <w:webHidden/>
          </w:rPr>
          <w:fldChar w:fldCharType="end"/>
        </w:r>
      </w:hyperlink>
    </w:p>
    <w:p w14:paraId="3C075AD1" w14:textId="74435F7E" w:rsidR="00BA0A94" w:rsidRDefault="00000000">
      <w:pPr>
        <w:pStyle w:val="TableofFigures"/>
        <w:rPr>
          <w:rFonts w:eastAsiaTheme="minorEastAsia"/>
          <w:lang w:eastAsia="en-GB"/>
        </w:rPr>
      </w:pPr>
      <w:hyperlink w:anchor="_Toc127795217" w:history="1">
        <w:r w:rsidR="00BA0A94" w:rsidRPr="005A450C">
          <w:rPr>
            <w:rStyle w:val="Hyperlink"/>
          </w:rPr>
          <w:t>Table 6: Supplier Types and VCSE Status</w:t>
        </w:r>
        <w:r w:rsidR="00BA0A94">
          <w:rPr>
            <w:webHidden/>
          </w:rPr>
          <w:tab/>
        </w:r>
        <w:r w:rsidR="00BA0A94">
          <w:rPr>
            <w:webHidden/>
          </w:rPr>
          <w:fldChar w:fldCharType="begin"/>
        </w:r>
        <w:r w:rsidR="00BA0A94">
          <w:rPr>
            <w:webHidden/>
          </w:rPr>
          <w:instrText xml:space="preserve"> PAGEREF _Toc127795217 \h </w:instrText>
        </w:r>
        <w:r w:rsidR="00BA0A94">
          <w:rPr>
            <w:webHidden/>
          </w:rPr>
        </w:r>
        <w:r w:rsidR="00BA0A94">
          <w:rPr>
            <w:webHidden/>
          </w:rPr>
          <w:fldChar w:fldCharType="separate"/>
        </w:r>
        <w:r w:rsidR="00BA0A94">
          <w:rPr>
            <w:webHidden/>
          </w:rPr>
          <w:t>13</w:t>
        </w:r>
        <w:r w:rsidR="00BA0A94">
          <w:rPr>
            <w:webHidden/>
          </w:rPr>
          <w:fldChar w:fldCharType="end"/>
        </w:r>
      </w:hyperlink>
    </w:p>
    <w:p w14:paraId="1AADF48C" w14:textId="0133E231" w:rsidR="009B0586" w:rsidRDefault="009B0586" w:rsidP="009B0586">
      <w:pPr>
        <w:spacing w:after="0" w:line="240" w:lineRule="auto"/>
      </w:pPr>
      <w:r>
        <w:fldChar w:fldCharType="end"/>
      </w:r>
    </w:p>
    <w:p w14:paraId="6EB8FD9D" w14:textId="298E2962" w:rsidR="009B0586" w:rsidRDefault="009B0586" w:rsidP="003E6FBC">
      <w:pPr>
        <w:pStyle w:val="TOCHeading"/>
      </w:pPr>
      <w:r>
        <w:t>Figures</w:t>
      </w:r>
    </w:p>
    <w:p w14:paraId="253C3CCB" w14:textId="10678E4A" w:rsidR="00BA0A94" w:rsidRDefault="009B0586">
      <w:pPr>
        <w:pStyle w:val="TableofFigures"/>
        <w:rPr>
          <w:rFonts w:eastAsiaTheme="minorEastAsia"/>
          <w:lang w:eastAsia="en-GB"/>
        </w:rPr>
      </w:pPr>
      <w:r>
        <w:fldChar w:fldCharType="begin"/>
      </w:r>
      <w:r>
        <w:instrText xml:space="preserve"> TOC \h \z \c "Figure" </w:instrText>
      </w:r>
      <w:r>
        <w:fldChar w:fldCharType="separate"/>
      </w:r>
      <w:hyperlink w:anchor="_Toc127795232" w:history="1">
        <w:r w:rsidR="00BA0A94" w:rsidRPr="0073120B">
          <w:rPr>
            <w:rStyle w:val="Hyperlink"/>
          </w:rPr>
          <w:t>Figure 1: Percent invoices &gt;£25k by CCG</w:t>
        </w:r>
        <w:r w:rsidR="00BA0A94">
          <w:rPr>
            <w:webHidden/>
          </w:rPr>
          <w:tab/>
        </w:r>
        <w:r w:rsidR="00BA0A94">
          <w:rPr>
            <w:webHidden/>
          </w:rPr>
          <w:fldChar w:fldCharType="begin"/>
        </w:r>
        <w:r w:rsidR="00BA0A94">
          <w:rPr>
            <w:webHidden/>
          </w:rPr>
          <w:instrText xml:space="preserve"> PAGEREF _Toc127795232 \h </w:instrText>
        </w:r>
        <w:r w:rsidR="00BA0A94">
          <w:rPr>
            <w:webHidden/>
          </w:rPr>
        </w:r>
        <w:r w:rsidR="00BA0A94">
          <w:rPr>
            <w:webHidden/>
          </w:rPr>
          <w:fldChar w:fldCharType="separate"/>
        </w:r>
        <w:r w:rsidR="00BA0A94">
          <w:rPr>
            <w:webHidden/>
          </w:rPr>
          <w:t>6</w:t>
        </w:r>
        <w:r w:rsidR="00BA0A94">
          <w:rPr>
            <w:webHidden/>
          </w:rPr>
          <w:fldChar w:fldCharType="end"/>
        </w:r>
      </w:hyperlink>
    </w:p>
    <w:p w14:paraId="12F5023A" w14:textId="4960D592" w:rsidR="00BA0A94" w:rsidRDefault="00000000">
      <w:pPr>
        <w:pStyle w:val="TableofFigures"/>
        <w:rPr>
          <w:rFonts w:eastAsiaTheme="minorEastAsia"/>
          <w:lang w:eastAsia="en-GB"/>
        </w:rPr>
      </w:pPr>
      <w:hyperlink w:anchor="_Toc127795233" w:history="1">
        <w:r w:rsidR="00BA0A94" w:rsidRPr="0073120B">
          <w:rPr>
            <w:rStyle w:val="Hyperlink"/>
          </w:rPr>
          <w:t>Figure 2: Proportion &gt;£25k spend to LAs and NHS Trusts</w:t>
        </w:r>
        <w:r w:rsidR="00BA0A94">
          <w:rPr>
            <w:webHidden/>
          </w:rPr>
          <w:tab/>
        </w:r>
        <w:r w:rsidR="00BA0A94">
          <w:rPr>
            <w:webHidden/>
          </w:rPr>
          <w:fldChar w:fldCharType="begin"/>
        </w:r>
        <w:r w:rsidR="00BA0A94">
          <w:rPr>
            <w:webHidden/>
          </w:rPr>
          <w:instrText xml:space="preserve"> PAGEREF _Toc127795233 \h </w:instrText>
        </w:r>
        <w:r w:rsidR="00BA0A94">
          <w:rPr>
            <w:webHidden/>
          </w:rPr>
        </w:r>
        <w:r w:rsidR="00BA0A94">
          <w:rPr>
            <w:webHidden/>
          </w:rPr>
          <w:fldChar w:fldCharType="separate"/>
        </w:r>
        <w:r w:rsidR="00BA0A94">
          <w:rPr>
            <w:webHidden/>
          </w:rPr>
          <w:t>7</w:t>
        </w:r>
        <w:r w:rsidR="00BA0A94">
          <w:rPr>
            <w:webHidden/>
          </w:rPr>
          <w:fldChar w:fldCharType="end"/>
        </w:r>
      </w:hyperlink>
    </w:p>
    <w:p w14:paraId="5C6333AD" w14:textId="7A5C3644" w:rsidR="00BA0A94" w:rsidRDefault="00000000">
      <w:pPr>
        <w:pStyle w:val="TableofFigures"/>
        <w:rPr>
          <w:rFonts w:eastAsiaTheme="minorEastAsia"/>
          <w:lang w:eastAsia="en-GB"/>
        </w:rPr>
      </w:pPr>
      <w:hyperlink w:anchor="_Toc127795234" w:history="1">
        <w:r w:rsidR="00BA0A94" w:rsidRPr="0073120B">
          <w:rPr>
            <w:rStyle w:val="Hyperlink"/>
          </w:rPr>
          <w:t>Figure 3: Proportion &gt;£25k spend on GP Services</w:t>
        </w:r>
        <w:r w:rsidR="00BA0A94">
          <w:rPr>
            <w:webHidden/>
          </w:rPr>
          <w:tab/>
        </w:r>
        <w:r w:rsidR="00BA0A94">
          <w:rPr>
            <w:webHidden/>
          </w:rPr>
          <w:fldChar w:fldCharType="begin"/>
        </w:r>
        <w:r w:rsidR="00BA0A94">
          <w:rPr>
            <w:webHidden/>
          </w:rPr>
          <w:instrText xml:space="preserve"> PAGEREF _Toc127795234 \h </w:instrText>
        </w:r>
        <w:r w:rsidR="00BA0A94">
          <w:rPr>
            <w:webHidden/>
          </w:rPr>
        </w:r>
        <w:r w:rsidR="00BA0A94">
          <w:rPr>
            <w:webHidden/>
          </w:rPr>
          <w:fldChar w:fldCharType="separate"/>
        </w:r>
        <w:r w:rsidR="00BA0A94">
          <w:rPr>
            <w:webHidden/>
          </w:rPr>
          <w:t>8</w:t>
        </w:r>
        <w:r w:rsidR="00BA0A94">
          <w:rPr>
            <w:webHidden/>
          </w:rPr>
          <w:fldChar w:fldCharType="end"/>
        </w:r>
      </w:hyperlink>
    </w:p>
    <w:p w14:paraId="64C24E0F" w14:textId="12395785" w:rsidR="00BA0A94" w:rsidRDefault="00000000">
      <w:pPr>
        <w:pStyle w:val="TableofFigures"/>
        <w:rPr>
          <w:rFonts w:eastAsiaTheme="minorEastAsia"/>
          <w:lang w:eastAsia="en-GB"/>
        </w:rPr>
      </w:pPr>
      <w:hyperlink w:anchor="_Toc127795235" w:history="1">
        <w:r w:rsidR="00BA0A94" w:rsidRPr="0073120B">
          <w:rPr>
            <w:rStyle w:val="Hyperlink"/>
          </w:rPr>
          <w:t>Figure 4: National (189 CCGs) expenditure on individual VCSEs; 2018/19</w:t>
        </w:r>
        <w:r w:rsidR="00BA0A94">
          <w:rPr>
            <w:webHidden/>
          </w:rPr>
          <w:tab/>
        </w:r>
        <w:r w:rsidR="00BA0A94">
          <w:rPr>
            <w:webHidden/>
          </w:rPr>
          <w:fldChar w:fldCharType="begin"/>
        </w:r>
        <w:r w:rsidR="00BA0A94">
          <w:rPr>
            <w:webHidden/>
          </w:rPr>
          <w:instrText xml:space="preserve"> PAGEREF _Toc127795235 \h </w:instrText>
        </w:r>
        <w:r w:rsidR="00BA0A94">
          <w:rPr>
            <w:webHidden/>
          </w:rPr>
        </w:r>
        <w:r w:rsidR="00BA0A94">
          <w:rPr>
            <w:webHidden/>
          </w:rPr>
          <w:fldChar w:fldCharType="separate"/>
        </w:r>
        <w:r w:rsidR="00BA0A94">
          <w:rPr>
            <w:webHidden/>
          </w:rPr>
          <w:t>14</w:t>
        </w:r>
        <w:r w:rsidR="00BA0A94">
          <w:rPr>
            <w:webHidden/>
          </w:rPr>
          <w:fldChar w:fldCharType="end"/>
        </w:r>
      </w:hyperlink>
    </w:p>
    <w:p w14:paraId="0D3989F7" w14:textId="63178B5A" w:rsidR="00BA0A94" w:rsidRDefault="00000000">
      <w:pPr>
        <w:pStyle w:val="TableofFigures"/>
        <w:rPr>
          <w:rFonts w:eastAsiaTheme="minorEastAsia"/>
          <w:lang w:eastAsia="en-GB"/>
        </w:rPr>
      </w:pPr>
      <w:hyperlink w:anchor="_Toc127795236" w:history="1">
        <w:r w:rsidR="00BA0A94" w:rsidRPr="0073120B">
          <w:rPr>
            <w:rStyle w:val="Hyperlink"/>
          </w:rPr>
          <w:t>Figure 5: Total CCG spending on VCSEs against number of CCGs served</w:t>
        </w:r>
        <w:r w:rsidR="00BA0A94">
          <w:rPr>
            <w:webHidden/>
          </w:rPr>
          <w:tab/>
        </w:r>
        <w:r w:rsidR="00BA0A94">
          <w:rPr>
            <w:webHidden/>
          </w:rPr>
          <w:fldChar w:fldCharType="begin"/>
        </w:r>
        <w:r w:rsidR="00BA0A94">
          <w:rPr>
            <w:webHidden/>
          </w:rPr>
          <w:instrText xml:space="preserve"> PAGEREF _Toc127795236 \h </w:instrText>
        </w:r>
        <w:r w:rsidR="00BA0A94">
          <w:rPr>
            <w:webHidden/>
          </w:rPr>
        </w:r>
        <w:r w:rsidR="00BA0A94">
          <w:rPr>
            <w:webHidden/>
          </w:rPr>
          <w:fldChar w:fldCharType="separate"/>
        </w:r>
        <w:r w:rsidR="00BA0A94">
          <w:rPr>
            <w:webHidden/>
          </w:rPr>
          <w:t>15</w:t>
        </w:r>
        <w:r w:rsidR="00BA0A94">
          <w:rPr>
            <w:webHidden/>
          </w:rPr>
          <w:fldChar w:fldCharType="end"/>
        </w:r>
      </w:hyperlink>
    </w:p>
    <w:p w14:paraId="736E8D83" w14:textId="1816F9DD" w:rsidR="00BA0A94" w:rsidRDefault="00000000">
      <w:pPr>
        <w:pStyle w:val="TableofFigures"/>
        <w:rPr>
          <w:rFonts w:eastAsiaTheme="minorEastAsia"/>
          <w:lang w:eastAsia="en-GB"/>
        </w:rPr>
      </w:pPr>
      <w:hyperlink w:anchor="_Toc127795237" w:history="1">
        <w:r w:rsidR="00BA0A94" w:rsidRPr="0073120B">
          <w:rPr>
            <w:rStyle w:val="Hyperlink"/>
          </w:rPr>
          <w:t>Figure 6: Relative Split of CCG spending on NHS/LA and other suppliers</w:t>
        </w:r>
        <w:r w:rsidR="00BA0A94">
          <w:rPr>
            <w:webHidden/>
          </w:rPr>
          <w:tab/>
        </w:r>
        <w:r w:rsidR="00BA0A94">
          <w:rPr>
            <w:webHidden/>
          </w:rPr>
          <w:fldChar w:fldCharType="begin"/>
        </w:r>
        <w:r w:rsidR="00BA0A94">
          <w:rPr>
            <w:webHidden/>
          </w:rPr>
          <w:instrText xml:space="preserve"> PAGEREF _Toc127795237 \h </w:instrText>
        </w:r>
        <w:r w:rsidR="00BA0A94">
          <w:rPr>
            <w:webHidden/>
          </w:rPr>
        </w:r>
        <w:r w:rsidR="00BA0A94">
          <w:rPr>
            <w:webHidden/>
          </w:rPr>
          <w:fldChar w:fldCharType="separate"/>
        </w:r>
        <w:r w:rsidR="00BA0A94">
          <w:rPr>
            <w:webHidden/>
          </w:rPr>
          <w:t>17</w:t>
        </w:r>
        <w:r w:rsidR="00BA0A94">
          <w:rPr>
            <w:webHidden/>
          </w:rPr>
          <w:fldChar w:fldCharType="end"/>
        </w:r>
      </w:hyperlink>
    </w:p>
    <w:p w14:paraId="7337D10C" w14:textId="3E73DB0E" w:rsidR="00BA0A94" w:rsidRDefault="00000000">
      <w:pPr>
        <w:pStyle w:val="TableofFigures"/>
        <w:rPr>
          <w:rFonts w:eastAsiaTheme="minorEastAsia"/>
          <w:lang w:eastAsia="en-GB"/>
        </w:rPr>
      </w:pPr>
      <w:hyperlink w:anchor="_Toc127795238" w:history="1">
        <w:r w:rsidR="00BA0A94" w:rsidRPr="0073120B">
          <w:rPr>
            <w:rStyle w:val="Hyperlink"/>
          </w:rPr>
          <w:t>Figure 7: Map of relative split of CCG spending on NHS/LA and other suppliers</w:t>
        </w:r>
        <w:r w:rsidR="00BA0A94">
          <w:rPr>
            <w:webHidden/>
          </w:rPr>
          <w:tab/>
        </w:r>
        <w:r w:rsidR="00BA0A94">
          <w:rPr>
            <w:webHidden/>
          </w:rPr>
          <w:fldChar w:fldCharType="begin"/>
        </w:r>
        <w:r w:rsidR="00BA0A94">
          <w:rPr>
            <w:webHidden/>
          </w:rPr>
          <w:instrText xml:space="preserve"> PAGEREF _Toc127795238 \h </w:instrText>
        </w:r>
        <w:r w:rsidR="00BA0A94">
          <w:rPr>
            <w:webHidden/>
          </w:rPr>
        </w:r>
        <w:r w:rsidR="00BA0A94">
          <w:rPr>
            <w:webHidden/>
          </w:rPr>
          <w:fldChar w:fldCharType="separate"/>
        </w:r>
        <w:r w:rsidR="00BA0A94">
          <w:rPr>
            <w:webHidden/>
          </w:rPr>
          <w:t>17</w:t>
        </w:r>
        <w:r w:rsidR="00BA0A94">
          <w:rPr>
            <w:webHidden/>
          </w:rPr>
          <w:fldChar w:fldCharType="end"/>
        </w:r>
      </w:hyperlink>
    </w:p>
    <w:p w14:paraId="3F5BC04E" w14:textId="26D5661B" w:rsidR="00BA0A94" w:rsidRDefault="00000000">
      <w:pPr>
        <w:pStyle w:val="TableofFigures"/>
        <w:rPr>
          <w:rFonts w:eastAsiaTheme="minorEastAsia"/>
          <w:lang w:eastAsia="en-GB"/>
        </w:rPr>
      </w:pPr>
      <w:hyperlink w:anchor="_Toc127795239" w:history="1">
        <w:r w:rsidR="00BA0A94" w:rsidRPr="0073120B">
          <w:rPr>
            <w:rStyle w:val="Hyperlink"/>
          </w:rPr>
          <w:t>Figure 8: Relative split between NHS/LA, VCSE and other suppliers</w:t>
        </w:r>
        <w:r w:rsidR="00BA0A94">
          <w:rPr>
            <w:webHidden/>
          </w:rPr>
          <w:tab/>
        </w:r>
        <w:r w:rsidR="00BA0A94">
          <w:rPr>
            <w:webHidden/>
          </w:rPr>
          <w:fldChar w:fldCharType="begin"/>
        </w:r>
        <w:r w:rsidR="00BA0A94">
          <w:rPr>
            <w:webHidden/>
          </w:rPr>
          <w:instrText xml:space="preserve"> PAGEREF _Toc127795239 \h </w:instrText>
        </w:r>
        <w:r w:rsidR="00BA0A94">
          <w:rPr>
            <w:webHidden/>
          </w:rPr>
        </w:r>
        <w:r w:rsidR="00BA0A94">
          <w:rPr>
            <w:webHidden/>
          </w:rPr>
          <w:fldChar w:fldCharType="separate"/>
        </w:r>
        <w:r w:rsidR="00BA0A94">
          <w:rPr>
            <w:webHidden/>
          </w:rPr>
          <w:t>18</w:t>
        </w:r>
        <w:r w:rsidR="00BA0A94">
          <w:rPr>
            <w:webHidden/>
          </w:rPr>
          <w:fldChar w:fldCharType="end"/>
        </w:r>
      </w:hyperlink>
    </w:p>
    <w:p w14:paraId="3DED4F6C" w14:textId="250F2CEF" w:rsidR="00BA0A94" w:rsidRDefault="00000000">
      <w:pPr>
        <w:pStyle w:val="TableofFigures"/>
        <w:rPr>
          <w:rFonts w:eastAsiaTheme="minorEastAsia"/>
          <w:lang w:eastAsia="en-GB"/>
        </w:rPr>
      </w:pPr>
      <w:hyperlink w:anchor="_Toc127795240" w:history="1">
        <w:r w:rsidR="00BA0A94" w:rsidRPr="0073120B">
          <w:rPr>
            <w:rStyle w:val="Hyperlink"/>
          </w:rPr>
          <w:t>Figure 9: Relative split of non-NHS/LA spend between VCSE and non-VCSE suppliers</w:t>
        </w:r>
        <w:r w:rsidR="00BA0A94">
          <w:rPr>
            <w:webHidden/>
          </w:rPr>
          <w:tab/>
        </w:r>
        <w:r w:rsidR="00BA0A94">
          <w:rPr>
            <w:webHidden/>
          </w:rPr>
          <w:fldChar w:fldCharType="begin"/>
        </w:r>
        <w:r w:rsidR="00BA0A94">
          <w:rPr>
            <w:webHidden/>
          </w:rPr>
          <w:instrText xml:space="preserve"> PAGEREF _Toc127795240 \h </w:instrText>
        </w:r>
        <w:r w:rsidR="00BA0A94">
          <w:rPr>
            <w:webHidden/>
          </w:rPr>
        </w:r>
        <w:r w:rsidR="00BA0A94">
          <w:rPr>
            <w:webHidden/>
          </w:rPr>
          <w:fldChar w:fldCharType="separate"/>
        </w:r>
        <w:r w:rsidR="00BA0A94">
          <w:rPr>
            <w:webHidden/>
          </w:rPr>
          <w:t>18</w:t>
        </w:r>
        <w:r w:rsidR="00BA0A94">
          <w:rPr>
            <w:webHidden/>
          </w:rPr>
          <w:fldChar w:fldCharType="end"/>
        </w:r>
      </w:hyperlink>
    </w:p>
    <w:p w14:paraId="540CA8F7" w14:textId="44F1FCF9" w:rsidR="00BA0A94" w:rsidRDefault="00000000">
      <w:pPr>
        <w:pStyle w:val="TableofFigures"/>
        <w:rPr>
          <w:rFonts w:eastAsiaTheme="minorEastAsia"/>
          <w:lang w:eastAsia="en-GB"/>
        </w:rPr>
      </w:pPr>
      <w:hyperlink w:anchor="_Toc127795241" w:history="1">
        <w:r w:rsidR="00BA0A94" w:rsidRPr="0073120B">
          <w:rPr>
            <w:rStyle w:val="Hyperlink"/>
          </w:rPr>
          <w:t>Figure 10: Map of relative split of non-NHS/LA spend between VCSE &amp; non-VCSE suppliers</w:t>
        </w:r>
        <w:r w:rsidR="00BA0A94">
          <w:rPr>
            <w:webHidden/>
          </w:rPr>
          <w:tab/>
        </w:r>
        <w:r w:rsidR="00BA0A94">
          <w:rPr>
            <w:webHidden/>
          </w:rPr>
          <w:fldChar w:fldCharType="begin"/>
        </w:r>
        <w:r w:rsidR="00BA0A94">
          <w:rPr>
            <w:webHidden/>
          </w:rPr>
          <w:instrText xml:space="preserve"> PAGEREF _Toc127795241 \h </w:instrText>
        </w:r>
        <w:r w:rsidR="00BA0A94">
          <w:rPr>
            <w:webHidden/>
          </w:rPr>
        </w:r>
        <w:r w:rsidR="00BA0A94">
          <w:rPr>
            <w:webHidden/>
          </w:rPr>
          <w:fldChar w:fldCharType="separate"/>
        </w:r>
        <w:r w:rsidR="00BA0A94">
          <w:rPr>
            <w:webHidden/>
          </w:rPr>
          <w:t>19</w:t>
        </w:r>
        <w:r w:rsidR="00BA0A94">
          <w:rPr>
            <w:webHidden/>
          </w:rPr>
          <w:fldChar w:fldCharType="end"/>
        </w:r>
      </w:hyperlink>
    </w:p>
    <w:p w14:paraId="04BAF78E" w14:textId="74EFD2A1" w:rsidR="00BA0A94" w:rsidRDefault="00000000">
      <w:pPr>
        <w:pStyle w:val="TableofFigures"/>
        <w:rPr>
          <w:rFonts w:eastAsiaTheme="minorEastAsia"/>
          <w:lang w:eastAsia="en-GB"/>
        </w:rPr>
      </w:pPr>
      <w:hyperlink w:anchor="_Toc127795242" w:history="1">
        <w:r w:rsidR="00BA0A94" w:rsidRPr="0073120B">
          <w:rPr>
            <w:rStyle w:val="Hyperlink"/>
          </w:rPr>
          <w:t>Figure 11: Percent Overall CCG Spending of VCSE Suppliers</w:t>
        </w:r>
        <w:r w:rsidR="00BA0A94">
          <w:rPr>
            <w:webHidden/>
          </w:rPr>
          <w:tab/>
        </w:r>
        <w:r w:rsidR="00BA0A94">
          <w:rPr>
            <w:webHidden/>
          </w:rPr>
          <w:fldChar w:fldCharType="begin"/>
        </w:r>
        <w:r w:rsidR="00BA0A94">
          <w:rPr>
            <w:webHidden/>
          </w:rPr>
          <w:instrText xml:space="preserve"> PAGEREF _Toc127795242 \h </w:instrText>
        </w:r>
        <w:r w:rsidR="00BA0A94">
          <w:rPr>
            <w:webHidden/>
          </w:rPr>
        </w:r>
        <w:r w:rsidR="00BA0A94">
          <w:rPr>
            <w:webHidden/>
          </w:rPr>
          <w:fldChar w:fldCharType="separate"/>
        </w:r>
        <w:r w:rsidR="00BA0A94">
          <w:rPr>
            <w:webHidden/>
          </w:rPr>
          <w:t>20</w:t>
        </w:r>
        <w:r w:rsidR="00BA0A94">
          <w:rPr>
            <w:webHidden/>
          </w:rPr>
          <w:fldChar w:fldCharType="end"/>
        </w:r>
      </w:hyperlink>
    </w:p>
    <w:p w14:paraId="13B7C4AD" w14:textId="38955A10" w:rsidR="00BA0A94" w:rsidRDefault="00000000">
      <w:pPr>
        <w:pStyle w:val="TableofFigures"/>
        <w:rPr>
          <w:rFonts w:eastAsiaTheme="minorEastAsia"/>
          <w:lang w:eastAsia="en-GB"/>
        </w:rPr>
      </w:pPr>
      <w:hyperlink w:anchor="_Toc127795243" w:history="1">
        <w:r w:rsidR="00BA0A94" w:rsidRPr="0073120B">
          <w:rPr>
            <w:rStyle w:val="Hyperlink"/>
          </w:rPr>
          <w:t>Figure 12: Per capita CCG Spending on VCSE suppliers</w:t>
        </w:r>
        <w:r w:rsidR="00BA0A94">
          <w:rPr>
            <w:webHidden/>
          </w:rPr>
          <w:tab/>
        </w:r>
        <w:r w:rsidR="00BA0A94">
          <w:rPr>
            <w:webHidden/>
          </w:rPr>
          <w:fldChar w:fldCharType="begin"/>
        </w:r>
        <w:r w:rsidR="00BA0A94">
          <w:rPr>
            <w:webHidden/>
          </w:rPr>
          <w:instrText xml:space="preserve"> PAGEREF _Toc127795243 \h </w:instrText>
        </w:r>
        <w:r w:rsidR="00BA0A94">
          <w:rPr>
            <w:webHidden/>
          </w:rPr>
        </w:r>
        <w:r w:rsidR="00BA0A94">
          <w:rPr>
            <w:webHidden/>
          </w:rPr>
          <w:fldChar w:fldCharType="separate"/>
        </w:r>
        <w:r w:rsidR="00BA0A94">
          <w:rPr>
            <w:webHidden/>
          </w:rPr>
          <w:t>20</w:t>
        </w:r>
        <w:r w:rsidR="00BA0A94">
          <w:rPr>
            <w:webHidden/>
          </w:rPr>
          <w:fldChar w:fldCharType="end"/>
        </w:r>
      </w:hyperlink>
    </w:p>
    <w:p w14:paraId="0C00DC45" w14:textId="051D1FAE" w:rsidR="00BA0A94" w:rsidRDefault="00000000">
      <w:pPr>
        <w:pStyle w:val="TableofFigures"/>
        <w:rPr>
          <w:rFonts w:eastAsiaTheme="minorEastAsia"/>
          <w:lang w:eastAsia="en-GB"/>
        </w:rPr>
      </w:pPr>
      <w:hyperlink w:anchor="_Toc127795244" w:history="1">
        <w:r w:rsidR="00BA0A94" w:rsidRPr="0073120B">
          <w:rPr>
            <w:rStyle w:val="Hyperlink"/>
          </w:rPr>
          <w:t>Figure 13: Short-list of potential case-study CCGs (points jittered to preserve anonymity)</w:t>
        </w:r>
        <w:r w:rsidR="00BA0A94">
          <w:rPr>
            <w:webHidden/>
          </w:rPr>
          <w:tab/>
        </w:r>
        <w:r w:rsidR="00BA0A94">
          <w:rPr>
            <w:webHidden/>
          </w:rPr>
          <w:fldChar w:fldCharType="begin"/>
        </w:r>
        <w:r w:rsidR="00BA0A94">
          <w:rPr>
            <w:webHidden/>
          </w:rPr>
          <w:instrText xml:space="preserve"> PAGEREF _Toc127795244 \h </w:instrText>
        </w:r>
        <w:r w:rsidR="00BA0A94">
          <w:rPr>
            <w:webHidden/>
          </w:rPr>
        </w:r>
        <w:r w:rsidR="00BA0A94">
          <w:rPr>
            <w:webHidden/>
          </w:rPr>
          <w:fldChar w:fldCharType="separate"/>
        </w:r>
        <w:r w:rsidR="00BA0A94">
          <w:rPr>
            <w:webHidden/>
          </w:rPr>
          <w:t>21</w:t>
        </w:r>
        <w:r w:rsidR="00BA0A94">
          <w:rPr>
            <w:webHidden/>
          </w:rPr>
          <w:fldChar w:fldCharType="end"/>
        </w:r>
      </w:hyperlink>
    </w:p>
    <w:p w14:paraId="180EF81E" w14:textId="01894574" w:rsidR="00BA0A94" w:rsidRDefault="00000000">
      <w:pPr>
        <w:pStyle w:val="TableofFigures"/>
        <w:rPr>
          <w:rFonts w:eastAsiaTheme="minorEastAsia"/>
          <w:lang w:eastAsia="en-GB"/>
        </w:rPr>
      </w:pPr>
      <w:hyperlink w:anchor="_Toc127795245" w:history="1">
        <w:r w:rsidR="00BA0A94" w:rsidRPr="0073120B">
          <w:rPr>
            <w:rStyle w:val="Hyperlink"/>
          </w:rPr>
          <w:t>Figure 14: Final distribution of case-study CCGs (points jittered to preserve anonymity)</w:t>
        </w:r>
        <w:r w:rsidR="00BA0A94">
          <w:rPr>
            <w:webHidden/>
          </w:rPr>
          <w:tab/>
        </w:r>
        <w:r w:rsidR="00BA0A94">
          <w:rPr>
            <w:webHidden/>
          </w:rPr>
          <w:fldChar w:fldCharType="begin"/>
        </w:r>
        <w:r w:rsidR="00BA0A94">
          <w:rPr>
            <w:webHidden/>
          </w:rPr>
          <w:instrText xml:space="preserve"> PAGEREF _Toc127795245 \h </w:instrText>
        </w:r>
        <w:r w:rsidR="00BA0A94">
          <w:rPr>
            <w:webHidden/>
          </w:rPr>
        </w:r>
        <w:r w:rsidR="00BA0A94">
          <w:rPr>
            <w:webHidden/>
          </w:rPr>
          <w:fldChar w:fldCharType="separate"/>
        </w:r>
        <w:r w:rsidR="00BA0A94">
          <w:rPr>
            <w:webHidden/>
          </w:rPr>
          <w:t>21</w:t>
        </w:r>
        <w:r w:rsidR="00BA0A94">
          <w:rPr>
            <w:webHidden/>
          </w:rPr>
          <w:fldChar w:fldCharType="end"/>
        </w:r>
      </w:hyperlink>
    </w:p>
    <w:p w14:paraId="23194143" w14:textId="11516175" w:rsidR="009B0586" w:rsidRDefault="009B0586" w:rsidP="009B0586">
      <w:pPr>
        <w:spacing w:after="0" w:line="240" w:lineRule="auto"/>
      </w:pPr>
      <w:r>
        <w:fldChar w:fldCharType="end"/>
      </w:r>
      <w:bookmarkStart w:id="2" w:name="_Hlk126329062"/>
    </w:p>
    <w:p w14:paraId="52A6C3D9" w14:textId="2942D253" w:rsidR="009B0586" w:rsidRPr="00BA0A94" w:rsidRDefault="00BA0A94" w:rsidP="00BA0A94">
      <w:pPr>
        <w:jc w:val="right"/>
        <w:rPr>
          <w:b/>
          <w:bCs/>
          <w:i/>
          <w:iCs/>
        </w:rPr>
      </w:pPr>
      <w:r w:rsidRPr="00BA0A94">
        <w:rPr>
          <w:b/>
          <w:bCs/>
          <w:i/>
          <w:iCs/>
        </w:rPr>
        <w:t>15/02/2013</w:t>
      </w:r>
      <w:r w:rsidR="009B0586" w:rsidRPr="00BA0A94">
        <w:rPr>
          <w:b/>
          <w:bCs/>
          <w:i/>
          <w:iCs/>
        </w:rPr>
        <w:br w:type="page"/>
      </w:r>
    </w:p>
    <w:p w14:paraId="5D38C845" w14:textId="2FDC73F2" w:rsidR="00097757" w:rsidRPr="00F221AA" w:rsidRDefault="00D4392E" w:rsidP="009B0586">
      <w:pPr>
        <w:pStyle w:val="Title"/>
      </w:pPr>
      <w:r w:rsidRPr="00F221AA">
        <w:lastRenderedPageBreak/>
        <w:t xml:space="preserve">Clinical Commissioning Group (CCG) spend </w:t>
      </w:r>
      <w:r w:rsidR="00097757" w:rsidRPr="00F221AA">
        <w:t xml:space="preserve">on </w:t>
      </w:r>
      <w:bookmarkStart w:id="3" w:name="_Hlk126346122"/>
      <w:r w:rsidRPr="00F221AA">
        <w:t>Voluntary, Community and Social Enterprises</w:t>
      </w:r>
      <w:bookmarkEnd w:id="3"/>
      <w:r w:rsidRPr="00F221AA">
        <w:t xml:space="preserve"> (</w:t>
      </w:r>
      <w:r w:rsidR="00097757" w:rsidRPr="00F221AA">
        <w:t>VCSEs</w:t>
      </w:r>
      <w:bookmarkEnd w:id="1"/>
      <w:r w:rsidRPr="00F221AA">
        <w:t>)</w:t>
      </w:r>
      <w:r w:rsidR="00D96805" w:rsidRPr="00D96805">
        <w:t xml:space="preserve"> </w:t>
      </w:r>
      <w:r w:rsidR="00D96805">
        <w:t>, 2018/19</w:t>
      </w:r>
    </w:p>
    <w:p w14:paraId="49F24821" w14:textId="3047A28C" w:rsidR="002B0AFE" w:rsidRPr="003479E3" w:rsidRDefault="009643EA" w:rsidP="003E6FBC">
      <w:pPr>
        <w:pStyle w:val="Heading1"/>
      </w:pPr>
      <w:bookmarkStart w:id="4" w:name="_Toc120452078"/>
      <w:bookmarkStart w:id="5" w:name="_Toc127795198"/>
      <w:bookmarkEnd w:id="2"/>
      <w:r w:rsidRPr="003479E3">
        <w:t>Introduction</w:t>
      </w:r>
      <w:bookmarkEnd w:id="4"/>
      <w:bookmarkEnd w:id="5"/>
    </w:p>
    <w:p w14:paraId="3207B89F" w14:textId="1D8EF7E8" w:rsidR="00D02D7D" w:rsidRPr="00E644C8" w:rsidRDefault="00356CFF" w:rsidP="00CB79E6">
      <w:pPr>
        <w:pStyle w:val="BodyText"/>
      </w:pPr>
      <w:r w:rsidRPr="00CB79E6">
        <w:t xml:space="preserve">As part of a </w:t>
      </w:r>
      <w:r w:rsidR="009A0A66">
        <w:t>d</w:t>
      </w:r>
      <w:r w:rsidRPr="00CB79E6">
        <w:t xml:space="preserve">rive </w:t>
      </w:r>
      <w:r w:rsidR="00D65A1B" w:rsidRPr="00CB79E6">
        <w:t xml:space="preserve">to improve </w:t>
      </w:r>
      <w:r w:rsidRPr="00CB79E6">
        <w:t>public expenditure</w:t>
      </w:r>
      <w:r w:rsidR="008111CA" w:rsidRPr="00CB79E6">
        <w:t xml:space="preserve"> transparency</w:t>
      </w:r>
      <w:r w:rsidR="006B6933" w:rsidRPr="00CB79E6">
        <w:t xml:space="preserve"> HM Treasury </w:t>
      </w:r>
      <w:r w:rsidR="00D65A1B" w:rsidRPr="00CB79E6">
        <w:t xml:space="preserve">issued </w:t>
      </w:r>
      <w:r w:rsidR="006B6933" w:rsidRPr="00CB79E6">
        <w:t xml:space="preserve">guidance </w:t>
      </w:r>
      <w:r w:rsidR="00E15155">
        <w:t xml:space="preserve">in 2013 </w:t>
      </w:r>
      <w:r w:rsidR="00D65A1B" w:rsidRPr="00CB79E6">
        <w:t xml:space="preserve">requiring </w:t>
      </w:r>
      <w:r w:rsidR="006B6933" w:rsidRPr="00CB79E6">
        <w:t xml:space="preserve">all </w:t>
      </w:r>
      <w:r w:rsidR="00D65A1B" w:rsidRPr="00CB79E6">
        <w:t xml:space="preserve">government bodies to </w:t>
      </w:r>
      <w:r w:rsidR="00113E4B" w:rsidRPr="00CB79E6">
        <w:t>publish</w:t>
      </w:r>
      <w:r w:rsidR="006B6933" w:rsidRPr="00CB79E6">
        <w:t>, with few exceptions,</w:t>
      </w:r>
      <w:r w:rsidR="00D96FD0" w:rsidRPr="00CB79E6">
        <w:t xml:space="preserve"> “all individual invoices, grant payments, expense payments or other such transactions that are over £25,000”</w:t>
      </w:r>
      <w:r w:rsidR="00D02D7D" w:rsidRPr="00E644C8">
        <w:rPr>
          <w:rStyle w:val="FootnoteReference"/>
        </w:rPr>
        <w:footnoteReference w:id="1"/>
      </w:r>
      <w:r w:rsidR="00D02D7D" w:rsidRPr="00E644C8">
        <w:t xml:space="preserve">.  </w:t>
      </w:r>
    </w:p>
    <w:p w14:paraId="100BFC7B" w14:textId="0269DAA4" w:rsidR="00D02D7D" w:rsidRDefault="00421A6A" w:rsidP="00CB79E6">
      <w:pPr>
        <w:pStyle w:val="BodyTextBeforeTable"/>
      </w:pPr>
      <w:r>
        <w:t>T</w:t>
      </w:r>
      <w:r w:rsidR="00D02D7D">
        <w:t xml:space="preserve">o be published in CSV format on the </w:t>
      </w:r>
      <w:r w:rsidR="00D02D7D" w:rsidRPr="00F27A76">
        <w:rPr>
          <w:i/>
          <w:iCs/>
        </w:rPr>
        <w:t>www.data.gov.uk</w:t>
      </w:r>
      <w:r w:rsidR="00D02D7D">
        <w:t xml:space="preserve"> website as well as locally (e.g.</w:t>
      </w:r>
      <w:r w:rsidR="009A0A66">
        <w:t xml:space="preserve"> </w:t>
      </w:r>
      <w:r w:rsidR="004641AC">
        <w:t xml:space="preserve">on individual CCG </w:t>
      </w:r>
      <w:r w:rsidR="00D02D7D" w:rsidRPr="0036636A">
        <w:t>websites</w:t>
      </w:r>
      <w:r w:rsidR="00D02D7D">
        <w:t>)</w:t>
      </w:r>
      <w:r w:rsidR="00646421">
        <w:t>,</w:t>
      </w:r>
      <w:r w:rsidR="00D02D7D">
        <w:t xml:space="preserve"> </w:t>
      </w:r>
      <w:r>
        <w:t xml:space="preserve">the </w:t>
      </w:r>
      <w:r w:rsidR="0058543D">
        <w:t>following was</w:t>
      </w:r>
      <w:r w:rsidR="00D02D7D">
        <w:t xml:space="preserve"> to </w:t>
      </w:r>
      <w:r w:rsidR="0058543D">
        <w:t>be reported</w:t>
      </w:r>
      <w:r>
        <w:t xml:space="preserve"> for each item of expenditure</w:t>
      </w:r>
      <w:r w:rsidR="0058543D">
        <w:t>:</w:t>
      </w:r>
    </w:p>
    <w:p w14:paraId="6D0EBDDD" w14:textId="6BECEA8F" w:rsidR="00D02D7D" w:rsidRPr="00CB79E6" w:rsidRDefault="00D02D7D" w:rsidP="00CB79E6">
      <w:pPr>
        <w:pStyle w:val="ListParagraphBullets"/>
      </w:pPr>
      <w:r w:rsidRPr="00CB79E6">
        <w:t>Department Family (e.g. Department of Health) and Entity (e.g. NHS Barnet CCG)</w:t>
      </w:r>
    </w:p>
    <w:p w14:paraId="5767640E" w14:textId="4C7AF343" w:rsidR="00D02D7D" w:rsidRDefault="00D02D7D" w:rsidP="00CB79E6">
      <w:pPr>
        <w:pStyle w:val="ListParagraphBullets"/>
      </w:pPr>
      <w:r>
        <w:t>Expense Type (</w:t>
      </w:r>
      <w:r w:rsidRPr="00F75395">
        <w:t>the general nature of the expenditure</w:t>
      </w:r>
      <w:r>
        <w:t>, e.g. ‘Mental Health – Adults’)</w:t>
      </w:r>
    </w:p>
    <w:p w14:paraId="38D96047" w14:textId="7879C661" w:rsidR="00D02D7D" w:rsidRDefault="00D02D7D" w:rsidP="00CB79E6">
      <w:pPr>
        <w:pStyle w:val="ListParagraphBullets"/>
      </w:pPr>
      <w:r>
        <w:t xml:space="preserve">Expense Area (the part of the entity that has spent the money, e.g. </w:t>
      </w:r>
      <w:r w:rsidR="0058543D">
        <w:t>‘</w:t>
      </w:r>
      <w:r>
        <w:t>Out of Hours</w:t>
      </w:r>
      <w:r w:rsidR="0058543D">
        <w:t>’</w:t>
      </w:r>
      <w:r>
        <w:t>)</w:t>
      </w:r>
    </w:p>
    <w:p w14:paraId="2E493BB5" w14:textId="40875B18" w:rsidR="00D02D7D" w:rsidRDefault="00D02D7D" w:rsidP="00CB79E6">
      <w:pPr>
        <w:pStyle w:val="ListParagraphBullets"/>
      </w:pPr>
      <w:r>
        <w:t>Supplier Name and Supplier Postcode</w:t>
      </w:r>
    </w:p>
    <w:p w14:paraId="4FD0B8E3" w14:textId="4E49862A" w:rsidR="00D02D7D" w:rsidRDefault="00D02D7D" w:rsidP="00CB79E6">
      <w:pPr>
        <w:pStyle w:val="ListParagraphBullets"/>
      </w:pPr>
      <w:r>
        <w:t>Narrative Description of the transaction</w:t>
      </w:r>
      <w:r w:rsidR="00B661B9">
        <w:t xml:space="preserve">, </w:t>
      </w:r>
    </w:p>
    <w:p w14:paraId="7DAE5EC5" w14:textId="1064F72E" w:rsidR="00D02D7D" w:rsidRDefault="00D02D7D" w:rsidP="00CB79E6">
      <w:pPr>
        <w:pStyle w:val="ListParagraphBullets"/>
      </w:pPr>
      <w:r>
        <w:t>Date and the ‘Amount in Sterling’</w:t>
      </w:r>
    </w:p>
    <w:p w14:paraId="5D3A73FE" w14:textId="702F8EAE" w:rsidR="00D02D7D" w:rsidRDefault="00D02D7D" w:rsidP="00CB79E6">
      <w:pPr>
        <w:pStyle w:val="BodyText"/>
      </w:pPr>
      <w:r>
        <w:t xml:space="preserve">In theory, </w:t>
      </w:r>
      <w:r w:rsidR="00D4392E">
        <w:t xml:space="preserve">therefore, </w:t>
      </w:r>
      <w:r>
        <w:t xml:space="preserve">a rich and comprehensive dataset should now cover all </w:t>
      </w:r>
      <w:r w:rsidR="00960D12">
        <w:t>“</w:t>
      </w:r>
      <w:r w:rsidR="000B3C30">
        <w:t xml:space="preserve">over-threshold” </w:t>
      </w:r>
      <w:r>
        <w:t>expenditure made by all public bodies</w:t>
      </w:r>
      <w:r w:rsidR="00F056CE">
        <w:t xml:space="preserve"> </w:t>
      </w:r>
      <w:r>
        <w:t>from 2014-15 onwards.  An enormous amount of data has indeed been made publicly available, and this has triggered some innovative analyses of NHS spending</w:t>
      </w:r>
      <w:r>
        <w:rPr>
          <w:rStyle w:val="FootnoteReference"/>
        </w:rPr>
        <w:footnoteReference w:id="2"/>
      </w:r>
      <w:r>
        <w:t>.  Nevertheless, for reasons that will become apparent, th</w:t>
      </w:r>
      <w:r w:rsidR="0058543D">
        <w:t>e</w:t>
      </w:r>
      <w:r>
        <w:t xml:space="preserve"> wealth of data has not received the level of attention that might have been expected. </w:t>
      </w:r>
    </w:p>
    <w:p w14:paraId="71B3878F" w14:textId="1D13CA65" w:rsidR="00D02D7D" w:rsidRDefault="00D02D7D" w:rsidP="00CB79E6">
      <w:pPr>
        <w:pStyle w:val="BodyTextBeforeTable"/>
      </w:pPr>
      <w:r>
        <w:t xml:space="preserve">In the context of the present study </w:t>
      </w:r>
      <w:r w:rsidR="004641AC">
        <w:t>(</w:t>
      </w:r>
      <w:r w:rsidR="004641AC" w:rsidRPr="003E4DE3">
        <w:rPr>
          <w:i/>
          <w:iCs/>
        </w:rPr>
        <w:t>Commissioning, Co-commissioning and Being Commissioned; the NHS and Third Sector Organisations</w:t>
      </w:r>
      <w:r w:rsidR="004641AC">
        <w:t xml:space="preserve">) </w:t>
      </w:r>
      <w:r>
        <w:t xml:space="preserve">the </w:t>
      </w:r>
      <w:r w:rsidR="009A0A66">
        <w:t xml:space="preserve">aim was to use this </w:t>
      </w:r>
      <w:r>
        <w:t>data to quantify how different CCGs commission VCSEs as opposed to other kinds of providers (NHS-owned, corporate, etc.). As detailed in the research protocol</w:t>
      </w:r>
      <w:r>
        <w:rPr>
          <w:rStyle w:val="FootnoteReference"/>
        </w:rPr>
        <w:footnoteReference w:id="3"/>
      </w:r>
      <w:r>
        <w:t xml:space="preserve">, the resulting insights </w:t>
      </w:r>
      <w:r w:rsidR="009A0A66">
        <w:t>were to</w:t>
      </w:r>
      <w:r w:rsidR="00421A6A">
        <w:t>:</w:t>
      </w:r>
    </w:p>
    <w:p w14:paraId="16D72C09" w14:textId="77020360" w:rsidR="00D02D7D" w:rsidRPr="00CB79E6" w:rsidRDefault="00D02D7D" w:rsidP="00CB79E6">
      <w:pPr>
        <w:pStyle w:val="ListParagraphabc"/>
      </w:pPr>
      <w:r w:rsidRPr="00CB79E6">
        <w:t>guide the initial ‘maximum-variety sample of study sites’,</w:t>
      </w:r>
    </w:p>
    <w:p w14:paraId="3810BCE9" w14:textId="2678C68E" w:rsidR="00D02D7D" w:rsidRDefault="00857A31" w:rsidP="00CB79E6">
      <w:pPr>
        <w:pStyle w:val="ListParagraphabc"/>
      </w:pPr>
      <w:r>
        <w:t xml:space="preserve">detail </w:t>
      </w:r>
      <w:r w:rsidR="00D02D7D">
        <w:t xml:space="preserve">the nature of VCSE engagement in the selected </w:t>
      </w:r>
      <w:r w:rsidR="00421A6A">
        <w:t>study sites</w:t>
      </w:r>
      <w:r w:rsidR="00D02D7D">
        <w:t xml:space="preserve">, and </w:t>
      </w:r>
    </w:p>
    <w:p w14:paraId="5888DA99" w14:textId="450173A3" w:rsidR="00D02D7D" w:rsidRDefault="00D02D7D" w:rsidP="00CB79E6">
      <w:pPr>
        <w:pStyle w:val="ListParagraphabc"/>
      </w:pPr>
      <w:r>
        <w:t xml:space="preserve">offer a broader cross-sectional and longitudinal perspective on patterns of VCSE commissioning across the country as a whole.  </w:t>
      </w:r>
    </w:p>
    <w:p w14:paraId="1119B758" w14:textId="1FA663EE" w:rsidR="00F056CE" w:rsidRDefault="00D02D7D" w:rsidP="00CB79E6">
      <w:pPr>
        <w:pStyle w:val="BodyText"/>
      </w:pPr>
      <w:r>
        <w:lastRenderedPageBreak/>
        <w:t>As d</w:t>
      </w:r>
      <w:r w:rsidR="00C666D8">
        <w:t xml:space="preserve">escribed </w:t>
      </w:r>
      <w:r>
        <w:t xml:space="preserve">below, the first two objectives were met and, with some limitations, the </w:t>
      </w:r>
      <w:r w:rsidR="000B3C30">
        <w:t>“over-threshold”</w:t>
      </w:r>
      <w:r w:rsidR="00960D12">
        <w:t xml:space="preserve"> </w:t>
      </w:r>
      <w:r>
        <w:t>expenditure data proved invaluable. It was also possible to construct a nearly complete cross-sectional analysis of commissioning patterns in 2018-19.</w:t>
      </w:r>
      <w:r w:rsidR="00421A6A">
        <w:t xml:space="preserve"> I</w:t>
      </w:r>
      <w:r>
        <w:t>ntractable obstacles caused by the ongoing reorganisation of CCGs</w:t>
      </w:r>
      <w:r w:rsidR="00D4392E">
        <w:t>,</w:t>
      </w:r>
      <w:r>
        <w:t xml:space="preserve"> and </w:t>
      </w:r>
      <w:r w:rsidR="00D4392E">
        <w:t xml:space="preserve">their eventual </w:t>
      </w:r>
      <w:r>
        <w:t>replacement by</w:t>
      </w:r>
      <w:r w:rsidR="00D4392E">
        <w:t xml:space="preserve"> Integrated Care Systems (</w:t>
      </w:r>
      <w:r>
        <w:t>IC</w:t>
      </w:r>
      <w:r w:rsidR="008E28DC">
        <w:t>S</w:t>
      </w:r>
      <w:r>
        <w:t>s)</w:t>
      </w:r>
      <w:r w:rsidR="00D4392E">
        <w:t>,</w:t>
      </w:r>
      <w:r w:rsidR="00421A6A">
        <w:t xml:space="preserve"> meant </w:t>
      </w:r>
      <w:r>
        <w:t xml:space="preserve">it </w:t>
      </w:r>
      <w:r w:rsidR="00421A6A">
        <w:t>w</w:t>
      </w:r>
      <w:r>
        <w:t>as not possible to undertake a longitudinal analysis of the data other than for the six study-site</w:t>
      </w:r>
      <w:r w:rsidR="0058543D">
        <w:t>s</w:t>
      </w:r>
      <w:r>
        <w:t xml:space="preserve">. </w:t>
      </w:r>
      <w:r w:rsidR="00DD0D2C">
        <w:t xml:space="preserve">This analysis is not reported here to ensure anonymity of the case study sites, a consideration which restricts the level of detail </w:t>
      </w:r>
      <w:r w:rsidR="00084438">
        <w:t xml:space="preserve">that can be </w:t>
      </w:r>
      <w:r w:rsidR="00DD0D2C">
        <w:t xml:space="preserve">provided </w:t>
      </w:r>
      <w:r w:rsidR="00084438">
        <w:t xml:space="preserve">in later sections of </w:t>
      </w:r>
      <w:r w:rsidR="00DD0D2C">
        <w:t xml:space="preserve">this report. </w:t>
      </w:r>
    </w:p>
    <w:p w14:paraId="74D9B305" w14:textId="0C92503C" w:rsidR="00B70509" w:rsidRDefault="00F056CE" w:rsidP="00CB79E6">
      <w:pPr>
        <w:pStyle w:val="BodyText"/>
      </w:pPr>
      <w:r>
        <w:t>CCG</w:t>
      </w:r>
      <w:r w:rsidR="0058543D">
        <w:t xml:space="preserve"> </w:t>
      </w:r>
      <w:r>
        <w:t>reorganisation</w:t>
      </w:r>
      <w:r w:rsidR="0058543D">
        <w:t xml:space="preserve">/replacement </w:t>
      </w:r>
      <w:r>
        <w:t>also mean</w:t>
      </w:r>
      <w:r w:rsidR="009A0A66">
        <w:t>t</w:t>
      </w:r>
      <w:r>
        <w:t xml:space="preserve"> that i</w:t>
      </w:r>
      <w:r w:rsidR="00D02D7D">
        <w:t xml:space="preserve">t </w:t>
      </w:r>
      <w:r w:rsidR="00857A31">
        <w:t>wa</w:t>
      </w:r>
      <w:r w:rsidR="00EC02F1">
        <w:t xml:space="preserve">s </w:t>
      </w:r>
      <w:r w:rsidR="00F56768">
        <w:t>im</w:t>
      </w:r>
      <w:r w:rsidR="00D02D7D">
        <w:t xml:space="preserve">possible to provide </w:t>
      </w:r>
      <w:r w:rsidR="00F56768">
        <w:t xml:space="preserve">a </w:t>
      </w:r>
      <w:r w:rsidR="00D02D7D">
        <w:t>full “reproducible analytical pipeline” (RAP)</w:t>
      </w:r>
      <w:r w:rsidR="00D02D7D">
        <w:rPr>
          <w:rStyle w:val="FootnoteReference"/>
        </w:rPr>
        <w:footnoteReference w:id="4"/>
      </w:r>
      <w:r w:rsidR="00D02D7D">
        <w:t xml:space="preserve"> </w:t>
      </w:r>
      <w:r w:rsidR="00E15155">
        <w:t>capturing</w:t>
      </w:r>
      <w:r w:rsidR="008E28DC">
        <w:t xml:space="preserve"> </w:t>
      </w:r>
      <w:r w:rsidR="00D02D7D">
        <w:t>data acquisition</w:t>
      </w:r>
      <w:r w:rsidR="00C666D8">
        <w:t>,</w:t>
      </w:r>
      <w:r w:rsidR="00D02D7D">
        <w:t xml:space="preserve"> </w:t>
      </w:r>
      <w:r w:rsidR="00D4392E">
        <w:t>cleaning</w:t>
      </w:r>
      <w:r w:rsidR="00C666D8">
        <w:t xml:space="preserve"> and analysis</w:t>
      </w:r>
      <w:r>
        <w:t xml:space="preserve">. </w:t>
      </w:r>
      <w:r w:rsidR="009A0A66">
        <w:t>RAP requires p</w:t>
      </w:r>
      <w:r>
        <w:t xml:space="preserve">ersistent open-source data </w:t>
      </w:r>
      <w:r w:rsidR="00B70509">
        <w:t xml:space="preserve">and </w:t>
      </w:r>
      <w:r w:rsidR="0058543D" w:rsidRPr="00A37F2A">
        <w:rPr>
          <w:b/>
          <w:bCs/>
        </w:rPr>
        <w:t>all</w:t>
      </w:r>
      <w:r w:rsidR="0058543D">
        <w:t xml:space="preserve"> CCG websites from which data were retrieved have now disappeared. </w:t>
      </w:r>
      <w:r w:rsidR="008E28DC">
        <w:t>Moreover, (1) m</w:t>
      </w:r>
      <w:r w:rsidR="009A0A66">
        <w:t xml:space="preserve">any </w:t>
      </w:r>
      <w:r w:rsidR="00D02D7D">
        <w:t xml:space="preserve">CCG datasets </w:t>
      </w:r>
      <w:r w:rsidR="003B354E">
        <w:t>were</w:t>
      </w:r>
      <w:r w:rsidR="009A0A66">
        <w:t xml:space="preserve"> </w:t>
      </w:r>
      <w:r w:rsidR="008E28DC">
        <w:t xml:space="preserve">in practice </w:t>
      </w:r>
      <w:r w:rsidR="009A0A66">
        <w:t xml:space="preserve">only available </w:t>
      </w:r>
      <w:r w:rsidR="00D02D7D">
        <w:t>via Freedom of Information (FoI) requests</w:t>
      </w:r>
      <w:r w:rsidR="008E28DC">
        <w:t>,</w:t>
      </w:r>
      <w:r w:rsidR="00B70509">
        <w:t xml:space="preserve"> and </w:t>
      </w:r>
      <w:r w:rsidR="008E28DC">
        <w:t xml:space="preserve">(2) </w:t>
      </w:r>
      <w:r w:rsidR="003B354E">
        <w:t xml:space="preserve">establishing the VCSE status </w:t>
      </w:r>
      <w:r w:rsidR="00D02D7D">
        <w:t>of suppliers involved significant manual searching of the internet</w:t>
      </w:r>
      <w:r w:rsidR="003B354E">
        <w:t>.</w:t>
      </w:r>
      <w:r w:rsidR="00D02D7D">
        <w:t xml:space="preserve"> </w:t>
      </w:r>
    </w:p>
    <w:p w14:paraId="6DF8F602" w14:textId="3C2AD4BC" w:rsidR="00B70509" w:rsidRDefault="00421A6A" w:rsidP="00CB79E6">
      <w:pPr>
        <w:pStyle w:val="BodyText"/>
      </w:pPr>
      <w:r>
        <w:t>I</w:t>
      </w:r>
      <w:r w:rsidR="003B354E">
        <w:t xml:space="preserve">n place of </w:t>
      </w:r>
      <w:r w:rsidR="00D02D7D">
        <w:t>a full RAP</w:t>
      </w:r>
      <w:r w:rsidR="00C666D8">
        <w:t>,</w:t>
      </w:r>
      <w:r w:rsidR="00D02D7D">
        <w:t xml:space="preserve"> all </w:t>
      </w:r>
      <w:r w:rsidR="008E28DC">
        <w:t>‘raw’</w:t>
      </w:r>
      <w:r w:rsidR="00D02D7D">
        <w:t xml:space="preserve"> </w:t>
      </w:r>
      <w:r w:rsidR="00084438">
        <w:t xml:space="preserve">2018/19 CCG </w:t>
      </w:r>
      <w:r w:rsidR="000B3C30">
        <w:t>“over-threshold”</w:t>
      </w:r>
      <w:r w:rsidR="00084438">
        <w:t xml:space="preserve"> </w:t>
      </w:r>
      <w:r w:rsidR="00D02D7D">
        <w:t>expenditure data</w:t>
      </w:r>
      <w:r w:rsidR="00B70509">
        <w:t>sets</w:t>
      </w:r>
      <w:r w:rsidR="00B70509" w:rsidRPr="00B70509">
        <w:t xml:space="preserve"> </w:t>
      </w:r>
      <w:r w:rsidR="003B354E">
        <w:t xml:space="preserve">used in the project </w:t>
      </w:r>
      <w:r w:rsidR="00C666D8">
        <w:t>have been made</w:t>
      </w:r>
      <w:r w:rsidR="00857A31">
        <w:t xml:space="preserve"> available via </w:t>
      </w:r>
      <w:r w:rsidR="00B70509">
        <w:t xml:space="preserve">the project’s </w:t>
      </w:r>
      <w:r w:rsidR="00B70509" w:rsidRPr="002E5C40">
        <w:rPr>
          <w:i/>
          <w:iCs/>
        </w:rPr>
        <w:t>github</w:t>
      </w:r>
      <w:r w:rsidR="00B70509">
        <w:t xml:space="preserve"> website</w:t>
      </w:r>
      <w:r w:rsidR="00B70509">
        <w:rPr>
          <w:rStyle w:val="FootnoteReference"/>
        </w:rPr>
        <w:footnoteReference w:id="5"/>
      </w:r>
      <w:r w:rsidR="00C666D8">
        <w:t xml:space="preserve"> along with a detailed description of the data cleaning and supplier categorisation workflow (below). The resulting </w:t>
      </w:r>
      <w:r w:rsidR="008E28DC">
        <w:t xml:space="preserve">analytical dataset </w:t>
      </w:r>
      <w:r w:rsidR="003E4DE3">
        <w:t>is</w:t>
      </w:r>
      <w:r w:rsidR="00C666D8">
        <w:t xml:space="preserve"> included </w:t>
      </w:r>
      <w:r w:rsidR="001953C8">
        <w:t>o</w:t>
      </w:r>
      <w:r w:rsidR="00C666D8">
        <w:t xml:space="preserve">n the project’s </w:t>
      </w:r>
      <w:r w:rsidR="00C666D8" w:rsidRPr="00C666D8">
        <w:rPr>
          <w:i/>
          <w:iCs/>
        </w:rPr>
        <w:t>github</w:t>
      </w:r>
      <w:r w:rsidR="003E4DE3">
        <w:t xml:space="preserve"> website,</w:t>
      </w:r>
      <w:r w:rsidR="00C666D8">
        <w:t xml:space="preserve"> along with </w:t>
      </w:r>
      <w:r w:rsidR="008E28DC">
        <w:t xml:space="preserve">all </w:t>
      </w:r>
      <w:r w:rsidR="00DD0D2C">
        <w:t xml:space="preserve">non-disclosive </w:t>
      </w:r>
      <w:r w:rsidR="008E28DC">
        <w:t xml:space="preserve">R scripts </w:t>
      </w:r>
      <w:r w:rsidR="0020030C">
        <w:t xml:space="preserve">and outputs </w:t>
      </w:r>
      <w:r w:rsidR="008E28DC">
        <w:t xml:space="preserve">used </w:t>
      </w:r>
      <w:r w:rsidR="0020030C">
        <w:t xml:space="preserve">to analyse </w:t>
      </w:r>
      <w:r w:rsidR="00D02D7D">
        <w:t>patterns of CCG commissioning</w:t>
      </w:r>
      <w:r w:rsidR="003E4DE3">
        <w:t xml:space="preserve"> </w:t>
      </w:r>
      <w:r w:rsidR="00E15155">
        <w:t>(</w:t>
      </w:r>
      <w:r w:rsidR="003E4DE3">
        <w:t>as reported below</w:t>
      </w:r>
      <w:r w:rsidR="00E15155">
        <w:t>)</w:t>
      </w:r>
      <w:r w:rsidR="008E28DC">
        <w:t>.</w:t>
      </w:r>
    </w:p>
    <w:p w14:paraId="36E992CB" w14:textId="72702CED" w:rsidR="00D02D7D" w:rsidRPr="00F32A00" w:rsidRDefault="00D02D7D" w:rsidP="003E6FBC">
      <w:pPr>
        <w:pStyle w:val="Heading1"/>
      </w:pPr>
      <w:bookmarkStart w:id="6" w:name="_Toc120452079"/>
      <w:bookmarkStart w:id="7" w:name="_Toc127795199"/>
      <w:r w:rsidRPr="00F32A00">
        <w:t>Data Collection</w:t>
      </w:r>
      <w:bookmarkEnd w:id="6"/>
      <w:r>
        <w:t xml:space="preserve"> &amp; Cleaning</w:t>
      </w:r>
      <w:bookmarkEnd w:id="7"/>
    </w:p>
    <w:p w14:paraId="538029A4" w14:textId="7287203B" w:rsidR="0064445B" w:rsidRDefault="0064445B" w:rsidP="0064445B">
      <w:pPr>
        <w:pStyle w:val="BodyText"/>
      </w:pPr>
      <w:r>
        <w:t xml:space="preserve">The most recent accounts available when the </w:t>
      </w:r>
      <w:r w:rsidR="0064217A">
        <w:t xml:space="preserve">data were required </w:t>
      </w:r>
      <w:r>
        <w:t>(</w:t>
      </w:r>
      <w:r w:rsidR="0020030C">
        <w:t xml:space="preserve">in </w:t>
      </w:r>
      <w:r>
        <w:t xml:space="preserve">late 2019) were for 2018-19. These referred to the 195 CCGs then extant, although the number had </w:t>
      </w:r>
      <w:r w:rsidR="0064217A">
        <w:t xml:space="preserve">already </w:t>
      </w:r>
      <w:r>
        <w:t>dropped to 191. We were</w:t>
      </w:r>
      <w:r w:rsidR="0064217A">
        <w:t>, in other</w:t>
      </w:r>
      <w:r>
        <w:t xml:space="preserve"> </w:t>
      </w:r>
      <w:r w:rsidR="0064217A">
        <w:t xml:space="preserve">words, </w:t>
      </w:r>
      <w:r>
        <w:t xml:space="preserve">already dependent on historic data and, as detailed in </w:t>
      </w:r>
      <w:r>
        <w:fldChar w:fldCharType="begin"/>
      </w:r>
      <w:r>
        <w:instrText xml:space="preserve"> REF _Ref120572231 \h </w:instrText>
      </w:r>
      <w:r>
        <w:fldChar w:fldCharType="separate"/>
      </w:r>
      <w:r w:rsidR="00842C06" w:rsidRPr="00CB79E6">
        <w:t xml:space="preserve">Table </w:t>
      </w:r>
      <w:r w:rsidR="00842C06">
        <w:rPr>
          <w:noProof/>
        </w:rPr>
        <w:t>1</w:t>
      </w:r>
      <w:r>
        <w:fldChar w:fldCharType="end"/>
      </w:r>
      <w:r>
        <w:t xml:space="preserve">, the reorganisation of commissioning bodies gathered pace during the study period.  </w:t>
      </w:r>
    </w:p>
    <w:p w14:paraId="16C00D0D" w14:textId="45AB2265" w:rsidR="00D02D7D" w:rsidRPr="00CB79E6" w:rsidRDefault="00D02D7D" w:rsidP="00CB79E6">
      <w:pPr>
        <w:pStyle w:val="TableCaption"/>
      </w:pPr>
      <w:bookmarkStart w:id="8" w:name="_Ref120572231"/>
      <w:bookmarkStart w:id="9" w:name="_Toc127795212"/>
      <w:r w:rsidRPr="00CB79E6">
        <w:t xml:space="preserve">Table </w:t>
      </w:r>
      <w:fldSimple w:instr=" SEQ Table \* ARABIC ">
        <w:r w:rsidR="00842C06">
          <w:rPr>
            <w:noProof/>
          </w:rPr>
          <w:t>1</w:t>
        </w:r>
      </w:fldSimple>
      <w:bookmarkEnd w:id="8"/>
      <w:r w:rsidRPr="00CB79E6">
        <w:t>: Number of Commissioning Bodies (CCGs and ICSs) by Year</w:t>
      </w:r>
      <w:bookmarkEnd w:id="9"/>
    </w:p>
    <w:tbl>
      <w:tblPr>
        <w:tblStyle w:val="TableGridLight"/>
        <w:tblW w:w="8787" w:type="dxa"/>
        <w:tblLook w:val="04A0" w:firstRow="1" w:lastRow="0" w:firstColumn="1" w:lastColumn="0" w:noHBand="0" w:noVBand="1"/>
      </w:tblPr>
      <w:tblGrid>
        <w:gridCol w:w="1304"/>
        <w:gridCol w:w="1247"/>
        <w:gridCol w:w="567"/>
        <w:gridCol w:w="1304"/>
        <w:gridCol w:w="1247"/>
        <w:gridCol w:w="567"/>
        <w:gridCol w:w="1304"/>
        <w:gridCol w:w="1247"/>
      </w:tblGrid>
      <w:tr w:rsidR="0064445B" w:rsidRPr="00455569" w14:paraId="6B300161" w14:textId="7A4401B0" w:rsidTr="0020030C">
        <w:tc>
          <w:tcPr>
            <w:tcW w:w="1304" w:type="dxa"/>
            <w:tcBorders>
              <w:bottom w:val="single" w:sz="4" w:space="0" w:color="auto"/>
            </w:tcBorders>
          </w:tcPr>
          <w:p w14:paraId="0EFC8744" w14:textId="644962F8" w:rsidR="0064445B" w:rsidRPr="00455569" w:rsidRDefault="0064445B" w:rsidP="0064445B">
            <w:pPr>
              <w:pStyle w:val="TableText"/>
              <w:rPr>
                <w:i/>
                <w:iCs/>
              </w:rPr>
            </w:pPr>
            <w:r w:rsidRPr="00455569">
              <w:rPr>
                <w:i/>
                <w:iCs/>
              </w:rPr>
              <w:t>Date</w:t>
            </w:r>
          </w:p>
        </w:tc>
        <w:tc>
          <w:tcPr>
            <w:tcW w:w="1247" w:type="dxa"/>
            <w:tcBorders>
              <w:bottom w:val="single" w:sz="4" w:space="0" w:color="auto"/>
              <w:right w:val="nil"/>
            </w:tcBorders>
          </w:tcPr>
          <w:p w14:paraId="08DDF64D" w14:textId="79E5C252" w:rsidR="0064445B" w:rsidRPr="00455569" w:rsidRDefault="0064445B" w:rsidP="0064445B">
            <w:pPr>
              <w:pStyle w:val="TableText"/>
              <w:rPr>
                <w:i/>
                <w:iCs/>
              </w:rPr>
            </w:pPr>
            <w:r w:rsidRPr="00455569">
              <w:rPr>
                <w:i/>
                <w:iCs/>
              </w:rPr>
              <w:t>Count</w:t>
            </w:r>
          </w:p>
        </w:tc>
        <w:tc>
          <w:tcPr>
            <w:tcW w:w="567" w:type="dxa"/>
            <w:tcBorders>
              <w:top w:val="nil"/>
              <w:left w:val="nil"/>
              <w:bottom w:val="nil"/>
              <w:right w:val="nil"/>
            </w:tcBorders>
          </w:tcPr>
          <w:p w14:paraId="463E9D19" w14:textId="77777777" w:rsidR="0064445B" w:rsidRPr="00455569" w:rsidRDefault="0064445B" w:rsidP="0064445B">
            <w:pPr>
              <w:pStyle w:val="TableText"/>
              <w:rPr>
                <w:i/>
                <w:iCs/>
              </w:rPr>
            </w:pPr>
          </w:p>
        </w:tc>
        <w:tc>
          <w:tcPr>
            <w:tcW w:w="1304" w:type="dxa"/>
            <w:tcBorders>
              <w:left w:val="nil"/>
              <w:bottom w:val="single" w:sz="4" w:space="0" w:color="auto"/>
            </w:tcBorders>
          </w:tcPr>
          <w:p w14:paraId="65851B6B" w14:textId="3C38694F" w:rsidR="0064445B" w:rsidRPr="00455569" w:rsidRDefault="0064445B" w:rsidP="0064445B">
            <w:pPr>
              <w:pStyle w:val="TableText"/>
              <w:rPr>
                <w:i/>
                <w:iCs/>
              </w:rPr>
            </w:pPr>
            <w:r w:rsidRPr="00455569">
              <w:rPr>
                <w:i/>
                <w:iCs/>
              </w:rPr>
              <w:t>Date</w:t>
            </w:r>
          </w:p>
        </w:tc>
        <w:tc>
          <w:tcPr>
            <w:tcW w:w="1247" w:type="dxa"/>
            <w:tcBorders>
              <w:bottom w:val="single" w:sz="4" w:space="0" w:color="auto"/>
              <w:right w:val="nil"/>
            </w:tcBorders>
          </w:tcPr>
          <w:p w14:paraId="3E79BD40" w14:textId="5B2CCAAC" w:rsidR="0064445B" w:rsidRPr="00455569" w:rsidRDefault="0064445B" w:rsidP="0064445B">
            <w:pPr>
              <w:pStyle w:val="TableText"/>
              <w:rPr>
                <w:i/>
                <w:iCs/>
              </w:rPr>
            </w:pPr>
            <w:r w:rsidRPr="00455569">
              <w:rPr>
                <w:i/>
                <w:iCs/>
              </w:rPr>
              <w:t>Count</w:t>
            </w:r>
          </w:p>
        </w:tc>
        <w:tc>
          <w:tcPr>
            <w:tcW w:w="567" w:type="dxa"/>
            <w:tcBorders>
              <w:top w:val="nil"/>
              <w:left w:val="nil"/>
              <w:bottom w:val="nil"/>
              <w:right w:val="nil"/>
            </w:tcBorders>
          </w:tcPr>
          <w:p w14:paraId="1C00C04F" w14:textId="77777777" w:rsidR="0064445B" w:rsidRPr="00455569" w:rsidRDefault="0064445B" w:rsidP="0064445B">
            <w:pPr>
              <w:pStyle w:val="TableText"/>
              <w:rPr>
                <w:i/>
                <w:iCs/>
              </w:rPr>
            </w:pPr>
          </w:p>
        </w:tc>
        <w:tc>
          <w:tcPr>
            <w:tcW w:w="1304" w:type="dxa"/>
            <w:tcBorders>
              <w:left w:val="nil"/>
              <w:bottom w:val="single" w:sz="4" w:space="0" w:color="auto"/>
            </w:tcBorders>
          </w:tcPr>
          <w:p w14:paraId="0DCDE455" w14:textId="69FDF67B" w:rsidR="0064445B" w:rsidRPr="00455569" w:rsidRDefault="0064445B" w:rsidP="0064445B">
            <w:pPr>
              <w:pStyle w:val="TableText"/>
              <w:rPr>
                <w:i/>
                <w:iCs/>
              </w:rPr>
            </w:pPr>
            <w:r w:rsidRPr="00455569">
              <w:rPr>
                <w:i/>
                <w:iCs/>
              </w:rPr>
              <w:t>Date</w:t>
            </w:r>
          </w:p>
        </w:tc>
        <w:tc>
          <w:tcPr>
            <w:tcW w:w="1247" w:type="dxa"/>
            <w:tcBorders>
              <w:bottom w:val="single" w:sz="4" w:space="0" w:color="auto"/>
            </w:tcBorders>
          </w:tcPr>
          <w:p w14:paraId="1E01AB9C" w14:textId="4EE5C9D0" w:rsidR="0064445B" w:rsidRPr="00455569" w:rsidRDefault="0064445B" w:rsidP="0064445B">
            <w:pPr>
              <w:pStyle w:val="TableText"/>
              <w:rPr>
                <w:i/>
                <w:iCs/>
              </w:rPr>
            </w:pPr>
            <w:r w:rsidRPr="00455569">
              <w:rPr>
                <w:i/>
                <w:iCs/>
              </w:rPr>
              <w:t>Count</w:t>
            </w:r>
          </w:p>
        </w:tc>
      </w:tr>
      <w:tr w:rsidR="0064445B" w:rsidRPr="00455569" w14:paraId="2367852F" w14:textId="41213E16" w:rsidTr="0020030C">
        <w:tc>
          <w:tcPr>
            <w:tcW w:w="1304" w:type="dxa"/>
            <w:tcBorders>
              <w:top w:val="single" w:sz="4" w:space="0" w:color="auto"/>
            </w:tcBorders>
          </w:tcPr>
          <w:p w14:paraId="2BB1DE93" w14:textId="6C238EF8" w:rsidR="0064445B" w:rsidRPr="00455569" w:rsidRDefault="0064445B" w:rsidP="0064445B">
            <w:pPr>
              <w:pStyle w:val="TableText"/>
            </w:pPr>
            <w:r w:rsidRPr="00455569">
              <w:t>April 2014</w:t>
            </w:r>
          </w:p>
        </w:tc>
        <w:tc>
          <w:tcPr>
            <w:tcW w:w="1247" w:type="dxa"/>
            <w:tcBorders>
              <w:top w:val="single" w:sz="4" w:space="0" w:color="auto"/>
            </w:tcBorders>
          </w:tcPr>
          <w:p w14:paraId="61B47C73" w14:textId="7F369C84" w:rsidR="0064445B" w:rsidRPr="00455569" w:rsidRDefault="0064445B" w:rsidP="0064445B">
            <w:pPr>
              <w:pStyle w:val="TableText"/>
            </w:pPr>
            <w:r w:rsidRPr="00455569">
              <w:t>211 CCGs</w:t>
            </w:r>
          </w:p>
        </w:tc>
        <w:tc>
          <w:tcPr>
            <w:tcW w:w="567" w:type="dxa"/>
            <w:tcBorders>
              <w:top w:val="nil"/>
            </w:tcBorders>
          </w:tcPr>
          <w:p w14:paraId="641739D1" w14:textId="77777777" w:rsidR="0064445B" w:rsidRPr="00455569" w:rsidRDefault="0064445B" w:rsidP="0064445B">
            <w:pPr>
              <w:pStyle w:val="TableText"/>
            </w:pPr>
          </w:p>
        </w:tc>
        <w:tc>
          <w:tcPr>
            <w:tcW w:w="1304" w:type="dxa"/>
            <w:tcBorders>
              <w:top w:val="single" w:sz="4" w:space="0" w:color="auto"/>
            </w:tcBorders>
          </w:tcPr>
          <w:p w14:paraId="36BA25EF" w14:textId="6E2A2FC9" w:rsidR="0064445B" w:rsidRPr="00455569" w:rsidRDefault="0064445B" w:rsidP="0064445B">
            <w:pPr>
              <w:pStyle w:val="TableText"/>
            </w:pPr>
            <w:r w:rsidRPr="00455569">
              <w:t>April 2017</w:t>
            </w:r>
          </w:p>
        </w:tc>
        <w:tc>
          <w:tcPr>
            <w:tcW w:w="1247" w:type="dxa"/>
            <w:tcBorders>
              <w:top w:val="single" w:sz="4" w:space="0" w:color="auto"/>
            </w:tcBorders>
          </w:tcPr>
          <w:p w14:paraId="1E4E2362" w14:textId="63782ACD" w:rsidR="0064445B" w:rsidRPr="00455569" w:rsidRDefault="0064445B" w:rsidP="0064445B">
            <w:pPr>
              <w:pStyle w:val="TableText"/>
            </w:pPr>
            <w:r w:rsidRPr="00455569">
              <w:t>207 CCGs</w:t>
            </w:r>
          </w:p>
        </w:tc>
        <w:tc>
          <w:tcPr>
            <w:tcW w:w="567" w:type="dxa"/>
            <w:tcBorders>
              <w:top w:val="nil"/>
            </w:tcBorders>
          </w:tcPr>
          <w:p w14:paraId="65206BDE" w14:textId="77777777" w:rsidR="0064445B" w:rsidRPr="00455569" w:rsidRDefault="0064445B" w:rsidP="0064445B">
            <w:pPr>
              <w:pStyle w:val="TableText"/>
            </w:pPr>
          </w:p>
        </w:tc>
        <w:tc>
          <w:tcPr>
            <w:tcW w:w="1304" w:type="dxa"/>
            <w:tcBorders>
              <w:top w:val="single" w:sz="4" w:space="0" w:color="auto"/>
            </w:tcBorders>
          </w:tcPr>
          <w:p w14:paraId="301EEFC6" w14:textId="3637621F" w:rsidR="0064445B" w:rsidRPr="00455569" w:rsidRDefault="0064445B" w:rsidP="0064445B">
            <w:pPr>
              <w:pStyle w:val="TableText"/>
            </w:pPr>
            <w:r w:rsidRPr="00455569">
              <w:t>April 2020</w:t>
            </w:r>
          </w:p>
        </w:tc>
        <w:tc>
          <w:tcPr>
            <w:tcW w:w="1247" w:type="dxa"/>
            <w:tcBorders>
              <w:top w:val="single" w:sz="4" w:space="0" w:color="auto"/>
            </w:tcBorders>
          </w:tcPr>
          <w:p w14:paraId="3357B799" w14:textId="05BC1F40" w:rsidR="0064445B" w:rsidRPr="00455569" w:rsidRDefault="0064445B" w:rsidP="0064445B">
            <w:pPr>
              <w:pStyle w:val="TableText"/>
            </w:pPr>
            <w:r w:rsidRPr="00455569">
              <w:t>135 CCGs</w:t>
            </w:r>
          </w:p>
        </w:tc>
      </w:tr>
      <w:tr w:rsidR="0064445B" w:rsidRPr="00455569" w14:paraId="5DFC8C61" w14:textId="472B27BF" w:rsidTr="0020030C">
        <w:tc>
          <w:tcPr>
            <w:tcW w:w="1304" w:type="dxa"/>
            <w:tcBorders>
              <w:bottom w:val="single" w:sz="4" w:space="0" w:color="BFBFBF" w:themeColor="background1" w:themeShade="BF"/>
            </w:tcBorders>
          </w:tcPr>
          <w:p w14:paraId="556D0EE0" w14:textId="2863664F" w:rsidR="0064445B" w:rsidRPr="00455569" w:rsidRDefault="0064445B" w:rsidP="0064445B">
            <w:pPr>
              <w:pStyle w:val="TableText"/>
            </w:pPr>
            <w:r w:rsidRPr="00455569">
              <w:t>April 2015</w:t>
            </w:r>
          </w:p>
        </w:tc>
        <w:tc>
          <w:tcPr>
            <w:tcW w:w="1247" w:type="dxa"/>
            <w:tcBorders>
              <w:bottom w:val="single" w:sz="4" w:space="0" w:color="BFBFBF" w:themeColor="background1" w:themeShade="BF"/>
            </w:tcBorders>
          </w:tcPr>
          <w:p w14:paraId="53E0870F" w14:textId="0075B529" w:rsidR="0064445B" w:rsidRPr="00455569" w:rsidRDefault="0064445B" w:rsidP="0064445B">
            <w:pPr>
              <w:pStyle w:val="TableText"/>
            </w:pPr>
            <w:r w:rsidRPr="00455569">
              <w:t>210 CCGs</w:t>
            </w:r>
          </w:p>
        </w:tc>
        <w:tc>
          <w:tcPr>
            <w:tcW w:w="567" w:type="dxa"/>
          </w:tcPr>
          <w:p w14:paraId="67AA2290" w14:textId="77777777" w:rsidR="0064445B" w:rsidRPr="00455569" w:rsidRDefault="0064445B" w:rsidP="0064445B">
            <w:pPr>
              <w:pStyle w:val="TableText"/>
            </w:pPr>
          </w:p>
        </w:tc>
        <w:tc>
          <w:tcPr>
            <w:tcW w:w="1304" w:type="dxa"/>
            <w:tcBorders>
              <w:bottom w:val="single" w:sz="4" w:space="0" w:color="BFBFBF" w:themeColor="background1" w:themeShade="BF"/>
            </w:tcBorders>
          </w:tcPr>
          <w:p w14:paraId="1FBF6217" w14:textId="140EF32F" w:rsidR="0064445B" w:rsidRPr="00455569" w:rsidRDefault="0064445B" w:rsidP="0064445B">
            <w:pPr>
              <w:pStyle w:val="TableText"/>
            </w:pPr>
            <w:r w:rsidRPr="00455569">
              <w:t>April 2018</w:t>
            </w:r>
          </w:p>
        </w:tc>
        <w:tc>
          <w:tcPr>
            <w:tcW w:w="1247" w:type="dxa"/>
            <w:tcBorders>
              <w:bottom w:val="single" w:sz="4" w:space="0" w:color="BFBFBF" w:themeColor="background1" w:themeShade="BF"/>
            </w:tcBorders>
          </w:tcPr>
          <w:p w14:paraId="0C22DACF" w14:textId="1C941D74" w:rsidR="0064445B" w:rsidRPr="00455569" w:rsidRDefault="0064445B" w:rsidP="0064445B">
            <w:pPr>
              <w:pStyle w:val="TableText"/>
            </w:pPr>
            <w:r w:rsidRPr="00455569">
              <w:t>195 CCGs</w:t>
            </w:r>
          </w:p>
        </w:tc>
        <w:tc>
          <w:tcPr>
            <w:tcW w:w="567" w:type="dxa"/>
          </w:tcPr>
          <w:p w14:paraId="7F7F424B" w14:textId="77777777" w:rsidR="0064445B" w:rsidRPr="00455569" w:rsidRDefault="0064445B" w:rsidP="0064445B">
            <w:pPr>
              <w:pStyle w:val="TableText"/>
            </w:pPr>
          </w:p>
        </w:tc>
        <w:tc>
          <w:tcPr>
            <w:tcW w:w="1304" w:type="dxa"/>
            <w:tcBorders>
              <w:bottom w:val="single" w:sz="4" w:space="0" w:color="BFBFBF" w:themeColor="background1" w:themeShade="BF"/>
            </w:tcBorders>
          </w:tcPr>
          <w:p w14:paraId="34D02083" w14:textId="1D078184" w:rsidR="0064445B" w:rsidRPr="00455569" w:rsidRDefault="0064445B" w:rsidP="0064445B">
            <w:pPr>
              <w:pStyle w:val="TableText"/>
            </w:pPr>
            <w:r w:rsidRPr="00455569">
              <w:t>April 2021</w:t>
            </w:r>
          </w:p>
        </w:tc>
        <w:tc>
          <w:tcPr>
            <w:tcW w:w="1247" w:type="dxa"/>
            <w:tcBorders>
              <w:bottom w:val="single" w:sz="4" w:space="0" w:color="BFBFBF" w:themeColor="background1" w:themeShade="BF"/>
            </w:tcBorders>
          </w:tcPr>
          <w:p w14:paraId="5DA0A8F2" w14:textId="44005F53" w:rsidR="0064445B" w:rsidRPr="00455569" w:rsidRDefault="0064445B" w:rsidP="0064445B">
            <w:pPr>
              <w:pStyle w:val="TableText"/>
            </w:pPr>
            <w:r w:rsidRPr="00455569">
              <w:t>106 CCGs</w:t>
            </w:r>
          </w:p>
        </w:tc>
      </w:tr>
      <w:tr w:rsidR="0064445B" w:rsidRPr="00455569" w14:paraId="36894FD2" w14:textId="777E2E97" w:rsidTr="0020030C">
        <w:tc>
          <w:tcPr>
            <w:tcW w:w="1304" w:type="dxa"/>
            <w:tcBorders>
              <w:bottom w:val="single" w:sz="4" w:space="0" w:color="auto"/>
            </w:tcBorders>
          </w:tcPr>
          <w:p w14:paraId="012FE806" w14:textId="4BF7CF51" w:rsidR="0064445B" w:rsidRPr="00455569" w:rsidRDefault="0064445B" w:rsidP="0064445B">
            <w:pPr>
              <w:pStyle w:val="TableText"/>
            </w:pPr>
            <w:r w:rsidRPr="00455569">
              <w:t>April 2016</w:t>
            </w:r>
          </w:p>
        </w:tc>
        <w:tc>
          <w:tcPr>
            <w:tcW w:w="1247" w:type="dxa"/>
            <w:tcBorders>
              <w:bottom w:val="single" w:sz="4" w:space="0" w:color="auto"/>
            </w:tcBorders>
          </w:tcPr>
          <w:p w14:paraId="25E4DDC3" w14:textId="62024054" w:rsidR="0064445B" w:rsidRPr="00455569" w:rsidRDefault="0064445B" w:rsidP="0064445B">
            <w:pPr>
              <w:pStyle w:val="TableText"/>
            </w:pPr>
            <w:r w:rsidRPr="00455569">
              <w:t>209 CCGs</w:t>
            </w:r>
          </w:p>
        </w:tc>
        <w:tc>
          <w:tcPr>
            <w:tcW w:w="567" w:type="dxa"/>
          </w:tcPr>
          <w:p w14:paraId="581C426E" w14:textId="77777777" w:rsidR="0064445B" w:rsidRPr="00455569" w:rsidRDefault="0064445B" w:rsidP="0064445B">
            <w:pPr>
              <w:pStyle w:val="TableText"/>
            </w:pPr>
          </w:p>
        </w:tc>
        <w:tc>
          <w:tcPr>
            <w:tcW w:w="1304" w:type="dxa"/>
            <w:tcBorders>
              <w:bottom w:val="single" w:sz="4" w:space="0" w:color="auto"/>
            </w:tcBorders>
          </w:tcPr>
          <w:p w14:paraId="60AD54C0" w14:textId="4E0BCB7F" w:rsidR="0064445B" w:rsidRPr="00455569" w:rsidRDefault="0064445B" w:rsidP="0064445B">
            <w:pPr>
              <w:pStyle w:val="TableText"/>
            </w:pPr>
            <w:r w:rsidRPr="00455569">
              <w:t>April 2019</w:t>
            </w:r>
          </w:p>
        </w:tc>
        <w:tc>
          <w:tcPr>
            <w:tcW w:w="1247" w:type="dxa"/>
            <w:tcBorders>
              <w:bottom w:val="single" w:sz="4" w:space="0" w:color="auto"/>
            </w:tcBorders>
          </w:tcPr>
          <w:p w14:paraId="74992BC1" w14:textId="358AB475" w:rsidR="0064445B" w:rsidRPr="00455569" w:rsidRDefault="0064445B" w:rsidP="0064445B">
            <w:pPr>
              <w:pStyle w:val="TableText"/>
            </w:pPr>
            <w:r w:rsidRPr="00455569">
              <w:t>191 CCGs</w:t>
            </w:r>
          </w:p>
        </w:tc>
        <w:tc>
          <w:tcPr>
            <w:tcW w:w="567" w:type="dxa"/>
          </w:tcPr>
          <w:p w14:paraId="560CC637" w14:textId="77777777" w:rsidR="0064445B" w:rsidRPr="00455569" w:rsidRDefault="0064445B" w:rsidP="0064445B">
            <w:pPr>
              <w:pStyle w:val="TableText"/>
            </w:pPr>
          </w:p>
        </w:tc>
        <w:tc>
          <w:tcPr>
            <w:tcW w:w="1304" w:type="dxa"/>
            <w:tcBorders>
              <w:bottom w:val="single" w:sz="4" w:space="0" w:color="auto"/>
            </w:tcBorders>
          </w:tcPr>
          <w:p w14:paraId="46B98232" w14:textId="5D55B9BC" w:rsidR="0064445B" w:rsidRPr="00455569" w:rsidRDefault="0064445B" w:rsidP="0064445B">
            <w:pPr>
              <w:pStyle w:val="TableText"/>
            </w:pPr>
            <w:r w:rsidRPr="00455569">
              <w:t>July 2022</w:t>
            </w:r>
          </w:p>
        </w:tc>
        <w:tc>
          <w:tcPr>
            <w:tcW w:w="1247" w:type="dxa"/>
            <w:tcBorders>
              <w:bottom w:val="single" w:sz="4" w:space="0" w:color="auto"/>
            </w:tcBorders>
          </w:tcPr>
          <w:p w14:paraId="3ECE5F86" w14:textId="3CC33F2F" w:rsidR="0064445B" w:rsidRPr="00455569" w:rsidRDefault="0064445B" w:rsidP="0064445B">
            <w:pPr>
              <w:pStyle w:val="TableText"/>
            </w:pPr>
            <w:r w:rsidRPr="00455569">
              <w:t>42 ICSs</w:t>
            </w:r>
          </w:p>
        </w:tc>
      </w:tr>
    </w:tbl>
    <w:p w14:paraId="4CD8562F" w14:textId="413D157C" w:rsidR="00D02D7D" w:rsidRPr="00455569" w:rsidRDefault="00D02D7D" w:rsidP="00FA73B4">
      <w:pPr>
        <w:pStyle w:val="AfterTableGap"/>
      </w:pPr>
    </w:p>
    <w:p w14:paraId="04DD659F" w14:textId="745061FE" w:rsidR="00D02D7D" w:rsidRDefault="0064217A" w:rsidP="00CB79E6">
      <w:pPr>
        <w:pStyle w:val="BodyText"/>
      </w:pPr>
      <w:r>
        <w:lastRenderedPageBreak/>
        <w:t xml:space="preserve">This reorganisation has posed significant problems. </w:t>
      </w:r>
      <w:r w:rsidR="00D02D7D" w:rsidRPr="00C37139">
        <w:t xml:space="preserve">Many newly created CCGs/ICSs incorporate expenditure data relating to </w:t>
      </w:r>
      <w:r>
        <w:t xml:space="preserve">their </w:t>
      </w:r>
      <w:r w:rsidR="00D02D7D" w:rsidRPr="00C37139">
        <w:t>precursor</w:t>
      </w:r>
      <w:r>
        <w:t>s</w:t>
      </w:r>
      <w:r w:rsidR="00D02D7D" w:rsidRPr="00C37139">
        <w:t xml:space="preserve"> </w:t>
      </w:r>
      <w:r w:rsidR="00D02D7D">
        <w:t>into their websites, but this was</w:t>
      </w:r>
      <w:r w:rsidR="00857A31">
        <w:t xml:space="preserve">, and remains, </w:t>
      </w:r>
      <w:r w:rsidR="00D02D7D">
        <w:t xml:space="preserve">far from universal. Extensive use of FoI requests may have </w:t>
      </w:r>
      <w:r w:rsidR="00E275BE">
        <w:t xml:space="preserve">retrieved </w:t>
      </w:r>
      <w:r w:rsidR="00857A31">
        <w:t>this</w:t>
      </w:r>
      <w:r w:rsidR="00E275BE">
        <w:t xml:space="preserve"> data, </w:t>
      </w:r>
      <w:r w:rsidR="00D02D7D">
        <w:t xml:space="preserve">but experience with the FoI process, and of the time it </w:t>
      </w:r>
      <w:r w:rsidR="00C37139">
        <w:t xml:space="preserve">takes </w:t>
      </w:r>
      <w:r w:rsidR="00D02D7D">
        <w:t xml:space="preserve">to </w:t>
      </w:r>
      <w:r w:rsidR="00F51BB8">
        <w:t>identify VCSE suppliers</w:t>
      </w:r>
      <w:r w:rsidR="00E15155">
        <w:t>,</w:t>
      </w:r>
      <w:r w:rsidR="00F51BB8">
        <w:t xml:space="preserve"> </w:t>
      </w:r>
      <w:r w:rsidR="00646421">
        <w:t>meant</w:t>
      </w:r>
      <w:r w:rsidR="00D02D7D">
        <w:t xml:space="preserve"> </w:t>
      </w:r>
      <w:r>
        <w:t xml:space="preserve">undertaking a longitudinal analysis </w:t>
      </w:r>
      <w:r w:rsidR="00D02D7D">
        <w:t>was not a reasonable proposition</w:t>
      </w:r>
      <w:r>
        <w:t xml:space="preserve"> and this </w:t>
      </w:r>
      <w:r w:rsidR="00D02D7D">
        <w:t>objective was not pursued.</w:t>
      </w:r>
    </w:p>
    <w:p w14:paraId="7F093384" w14:textId="145E5C4B" w:rsidR="00D02D7D" w:rsidRDefault="00646421" w:rsidP="00CB79E6">
      <w:pPr>
        <w:pStyle w:val="BodyText"/>
      </w:pPr>
      <w:r>
        <w:t xml:space="preserve">The </w:t>
      </w:r>
      <w:r w:rsidR="00D02D7D">
        <w:t xml:space="preserve">focus </w:t>
      </w:r>
      <w:r>
        <w:t xml:space="preserve">was </w:t>
      </w:r>
      <w:r w:rsidR="00D02D7D">
        <w:t xml:space="preserve">thus on the </w:t>
      </w:r>
      <w:r w:rsidR="000B3C30">
        <w:t>“over-threshold”</w:t>
      </w:r>
      <w:r w:rsidR="00960D12">
        <w:t xml:space="preserve"> </w:t>
      </w:r>
      <w:r w:rsidR="00D02D7D">
        <w:t xml:space="preserve">accounts for the 195 CCGs operating </w:t>
      </w:r>
      <w:r w:rsidR="00635B28">
        <w:t xml:space="preserve">in </w:t>
      </w:r>
      <w:r w:rsidR="00D02D7D">
        <w:t xml:space="preserve">2018-19. The </w:t>
      </w:r>
      <w:r w:rsidR="00D02D7D" w:rsidRPr="00F27A76">
        <w:rPr>
          <w:i/>
          <w:iCs/>
        </w:rPr>
        <w:t>www.data.gov.uk</w:t>
      </w:r>
      <w:r w:rsidR="00D02D7D">
        <w:t xml:space="preserve"> website and all CCG websites were searched and, if found, the relevant accounts were downloaded.  Disappointingly, given the intention of the 2013 guidance, FoI requests </w:t>
      </w:r>
      <w:r w:rsidR="00F51BB8">
        <w:t xml:space="preserve">then </w:t>
      </w:r>
      <w:r w:rsidR="00D02D7D">
        <w:t>had to be sent to 106 of the 195 CCGs.  Of these, 12 because no accounts were publicly available, 11 because one or more of the monthly accounts were missing</w:t>
      </w:r>
      <w:r w:rsidR="00455569">
        <w:t xml:space="preserve">, corrupted </w:t>
      </w:r>
      <w:r w:rsidR="00D02D7D">
        <w:t>or referred to the wrong CCG, and 83 because the data</w:t>
      </w:r>
      <w:r w:rsidR="0064217A">
        <w:t xml:space="preserve">, contrary to the guidance, were </w:t>
      </w:r>
      <w:r w:rsidR="00D02D7D">
        <w:t xml:space="preserve">provided in PDF format </w:t>
      </w:r>
      <w:r w:rsidR="00863299">
        <w:t>and</w:t>
      </w:r>
      <w:r w:rsidR="00D02D7D">
        <w:t xml:space="preserve"> could not be </w:t>
      </w:r>
      <w:r>
        <w:t xml:space="preserve">reliably </w:t>
      </w:r>
      <w:r w:rsidR="00D02D7D">
        <w:t>converted into machine-readable numeric data</w:t>
      </w:r>
      <w:r w:rsidR="00D02D7D">
        <w:rPr>
          <w:rStyle w:val="FootnoteReference"/>
        </w:rPr>
        <w:footnoteReference w:id="6"/>
      </w:r>
      <w:r w:rsidR="00D02D7D">
        <w:t>.</w:t>
      </w:r>
    </w:p>
    <w:p w14:paraId="592793B1" w14:textId="750FD2D3" w:rsidR="00D02D7D" w:rsidRDefault="00D02D7D" w:rsidP="00CB79E6">
      <w:pPr>
        <w:pStyle w:val="BodyText"/>
      </w:pPr>
      <w:r>
        <w:t xml:space="preserve">In most cases the FoI process was quick and straightforward, but 17 requests were rejected and a formal follow-up was needed.  By </w:t>
      </w:r>
      <w:r w:rsidR="0064217A">
        <w:t>March</w:t>
      </w:r>
      <w:r>
        <w:t xml:space="preserve"> 2020 there remained </w:t>
      </w:r>
      <w:r w:rsidR="00C37139">
        <w:t>four</w:t>
      </w:r>
      <w:r>
        <w:t xml:space="preserve"> CCGs which had</w:t>
      </w:r>
      <w:r w:rsidR="00F51BB8">
        <w:t xml:space="preserve"> </w:t>
      </w:r>
      <w:r>
        <w:t xml:space="preserve">yet </w:t>
      </w:r>
      <w:r w:rsidR="00F51BB8">
        <w:t xml:space="preserve">to </w:t>
      </w:r>
      <w:r>
        <w:t xml:space="preserve">provide </w:t>
      </w:r>
      <w:r w:rsidR="00994E69">
        <w:t>useable</w:t>
      </w:r>
      <w:r>
        <w:t xml:space="preserve"> data. With the arrival and </w:t>
      </w:r>
      <w:r w:rsidR="001554CC">
        <w:t xml:space="preserve">obvious </w:t>
      </w:r>
      <w:r>
        <w:t>impact of the COVID-19 pandemic we stop</w:t>
      </w:r>
      <w:r w:rsidR="009A0A66">
        <w:t>ped</w:t>
      </w:r>
      <w:r>
        <w:t xml:space="preserve"> pursuing our FoI requests, </w:t>
      </w:r>
      <w:r w:rsidR="009A0A66">
        <w:t xml:space="preserve">leaving us with </w:t>
      </w:r>
      <w:r>
        <w:t>data for 19</w:t>
      </w:r>
      <w:r w:rsidR="00C37139">
        <w:t>1</w:t>
      </w:r>
      <w:r>
        <w:t xml:space="preserve"> of the 195 CCGs. </w:t>
      </w:r>
    </w:p>
    <w:p w14:paraId="7D579313" w14:textId="0E2B8A41" w:rsidR="00D02D7D" w:rsidRPr="00D96805" w:rsidRDefault="00D02D7D" w:rsidP="00D96805">
      <w:pPr>
        <w:pStyle w:val="Heading2"/>
      </w:pPr>
      <w:bookmarkStart w:id="10" w:name="_Toc127795200"/>
      <w:r w:rsidRPr="00D96805">
        <w:t xml:space="preserve">Preliminary Evaluation of CCG </w:t>
      </w:r>
      <w:r w:rsidR="001E6D86" w:rsidRPr="00D96805">
        <w:t>Accounts</w:t>
      </w:r>
      <w:bookmarkEnd w:id="10"/>
    </w:p>
    <w:p w14:paraId="7FC6A601" w14:textId="2EF29C3A" w:rsidR="00EE6910" w:rsidRDefault="00D02D7D" w:rsidP="00CB79E6">
      <w:pPr>
        <w:pStyle w:val="BodyText"/>
        <w:rPr>
          <w:lang w:eastAsia="en-GB"/>
        </w:rPr>
      </w:pPr>
      <w:r>
        <w:t>To test their likely veracity, all CCG expenditure accounts were compared against the most recent available NHSE CCG consolidated accounts (for 2016-17)</w:t>
      </w:r>
      <w:r>
        <w:rPr>
          <w:rStyle w:val="FootnoteReference"/>
        </w:rPr>
        <w:footnoteReference w:id="7"/>
      </w:r>
      <w:r>
        <w:t>.</w:t>
      </w:r>
      <w:r w:rsidR="0032171B">
        <w:t xml:space="preserve">  Given the time </w:t>
      </w:r>
      <w:r w:rsidR="00E164A5">
        <w:t>l</w:t>
      </w:r>
      <w:r w:rsidR="0032171B">
        <w:t xml:space="preserve">ag some variation was expected, but two CCGs </w:t>
      </w:r>
      <w:r w:rsidR="00E164A5">
        <w:t xml:space="preserve">accounts were badly out-of-line. </w:t>
      </w:r>
      <w:r w:rsidR="00E164A5" w:rsidRPr="00EB0473">
        <w:rPr>
          <w:lang w:eastAsia="en-GB"/>
        </w:rPr>
        <w:t>Airedale, Wharfedale &amp; Craven CCG</w:t>
      </w:r>
      <w:r w:rsidR="00E164A5">
        <w:rPr>
          <w:lang w:eastAsia="en-GB"/>
        </w:rPr>
        <w:t xml:space="preserve"> captured 47.5% of the NHSE-reported spend, </w:t>
      </w:r>
      <w:r w:rsidR="00E164A5" w:rsidRPr="00EB0473">
        <w:rPr>
          <w:lang w:eastAsia="en-GB"/>
        </w:rPr>
        <w:t xml:space="preserve">and Eastern Cheshire CCG </w:t>
      </w:r>
      <w:r w:rsidR="00E164A5">
        <w:rPr>
          <w:lang w:eastAsia="en-GB"/>
        </w:rPr>
        <w:t xml:space="preserve">just 20.8%. </w:t>
      </w:r>
      <w:r w:rsidR="00EB4298">
        <w:rPr>
          <w:lang w:eastAsia="en-GB"/>
        </w:rPr>
        <w:t>I</w:t>
      </w:r>
      <w:r w:rsidR="00E164A5">
        <w:rPr>
          <w:lang w:eastAsia="en-GB"/>
        </w:rPr>
        <w:t>t was clear that these accounts could not be relied upon.</w:t>
      </w:r>
    </w:p>
    <w:p w14:paraId="7B0D246F" w14:textId="081A1FE5" w:rsidR="000C6C0B" w:rsidRDefault="00E164A5" w:rsidP="000C6C0B">
      <w:pPr>
        <w:pStyle w:val="BodyText"/>
      </w:pPr>
      <w:r>
        <w:rPr>
          <w:lang w:eastAsia="en-GB"/>
        </w:rPr>
        <w:t>We were thus left, as summarised in</w:t>
      </w:r>
      <w:r w:rsidR="004F14D5">
        <w:rPr>
          <w:lang w:eastAsia="en-GB"/>
        </w:rPr>
        <w:t xml:space="preserve"> </w:t>
      </w:r>
      <w:r w:rsidR="00C37139">
        <w:rPr>
          <w:lang w:eastAsia="en-GB"/>
        </w:rPr>
        <w:fldChar w:fldCharType="begin"/>
      </w:r>
      <w:r w:rsidR="00C37139">
        <w:rPr>
          <w:lang w:eastAsia="en-GB"/>
        </w:rPr>
        <w:instrText xml:space="preserve"> REF _Ref121828409 \h </w:instrText>
      </w:r>
      <w:r w:rsidR="00C37139">
        <w:rPr>
          <w:lang w:eastAsia="en-GB"/>
        </w:rPr>
      </w:r>
      <w:r w:rsidR="00C37139">
        <w:rPr>
          <w:lang w:eastAsia="en-GB"/>
        </w:rPr>
        <w:fldChar w:fldCharType="separate"/>
      </w:r>
      <w:r w:rsidR="00842C06" w:rsidRPr="000E4EFF">
        <w:t xml:space="preserve">Table </w:t>
      </w:r>
      <w:r w:rsidR="00842C06">
        <w:rPr>
          <w:noProof/>
        </w:rPr>
        <w:t>2</w:t>
      </w:r>
      <w:r w:rsidR="00C37139">
        <w:rPr>
          <w:lang w:eastAsia="en-GB"/>
        </w:rPr>
        <w:fldChar w:fldCharType="end"/>
      </w:r>
      <w:r w:rsidR="00E54F2D">
        <w:rPr>
          <w:lang w:eastAsia="en-GB"/>
        </w:rPr>
        <w:t xml:space="preserve"> below</w:t>
      </w:r>
      <w:r>
        <w:rPr>
          <w:lang w:eastAsia="en-GB"/>
        </w:rPr>
        <w:t xml:space="preserve">, with </w:t>
      </w:r>
      <w:r w:rsidR="00B57194">
        <w:rPr>
          <w:lang w:eastAsia="en-GB"/>
        </w:rPr>
        <w:t>accounts for</w:t>
      </w:r>
      <w:r>
        <w:rPr>
          <w:lang w:eastAsia="en-GB"/>
        </w:rPr>
        <w:t xml:space="preserve"> 18</w:t>
      </w:r>
      <w:r w:rsidR="00994E69">
        <w:rPr>
          <w:lang w:eastAsia="en-GB"/>
        </w:rPr>
        <w:t>9</w:t>
      </w:r>
      <w:r>
        <w:rPr>
          <w:lang w:eastAsia="en-GB"/>
        </w:rPr>
        <w:t xml:space="preserve"> of the 195 CCGs extant in 2018-19</w:t>
      </w:r>
      <w:r w:rsidR="00E54F2D">
        <w:rPr>
          <w:lang w:eastAsia="en-GB"/>
        </w:rPr>
        <w:t xml:space="preserve">. From these were </w:t>
      </w:r>
      <w:r w:rsidR="00B57194">
        <w:rPr>
          <w:lang w:eastAsia="en-GB"/>
        </w:rPr>
        <w:t>extracted:</w:t>
      </w:r>
      <w:r w:rsidR="000C6C0B">
        <w:t xml:space="preserve"> (1) CCG Name, (2) Expense Area, (3) Expense Type, (4) Supplier and (5) Amount. </w:t>
      </w:r>
      <w:r w:rsidR="00253BE1">
        <w:t xml:space="preserve">Only </w:t>
      </w:r>
      <w:r w:rsidR="00A02899">
        <w:t>1287</w:t>
      </w:r>
      <w:r w:rsidR="000C6C0B">
        <w:t xml:space="preserve"> records </w:t>
      </w:r>
      <w:r w:rsidR="00253BE1">
        <w:t>(0.1</w:t>
      </w:r>
      <w:r w:rsidR="00A02899">
        <w:t>9</w:t>
      </w:r>
      <w:r w:rsidR="00253BE1">
        <w:t xml:space="preserve">%) </w:t>
      </w:r>
      <w:r w:rsidR="000C6C0B">
        <w:t xml:space="preserve">had </w:t>
      </w:r>
      <w:r w:rsidR="00253BE1">
        <w:t xml:space="preserve">a </w:t>
      </w:r>
      <w:r w:rsidR="000C6C0B">
        <w:t>blank, ‘unknown’</w:t>
      </w:r>
      <w:r w:rsidR="00A02899">
        <w:t>,</w:t>
      </w:r>
      <w:r w:rsidR="000C6C0B">
        <w:t xml:space="preserve"> </w:t>
      </w:r>
      <w:r w:rsidR="00253BE1">
        <w:t>‘</w:t>
      </w:r>
      <w:r w:rsidR="000C6C0B">
        <w:t>redacted</w:t>
      </w:r>
      <w:r w:rsidR="00253BE1">
        <w:t>’</w:t>
      </w:r>
      <w:r w:rsidR="000C6C0B">
        <w:t xml:space="preserve"> </w:t>
      </w:r>
      <w:r w:rsidR="00A02899">
        <w:t xml:space="preserve">or uninformative (e.g. ‘Payroll </w:t>
      </w:r>
      <w:proofErr w:type="spellStart"/>
      <w:r w:rsidR="00A02899">
        <w:t>Payovers</w:t>
      </w:r>
      <w:proofErr w:type="spellEnd"/>
      <w:r w:rsidR="00A02899">
        <w:t xml:space="preserve">’ or  ‘Programme Projects’) </w:t>
      </w:r>
      <w:r w:rsidR="000C6C0B">
        <w:t>supplier</w:t>
      </w:r>
      <w:r w:rsidR="00253BE1">
        <w:t xml:space="preserve"> name</w:t>
      </w:r>
      <w:r w:rsidR="000C6C0B">
        <w:t xml:space="preserve">, </w:t>
      </w:r>
      <w:r w:rsidR="00253BE1">
        <w:t xml:space="preserve">although </w:t>
      </w:r>
      <w:r w:rsidR="00BA0082">
        <w:t>4.</w:t>
      </w:r>
      <w:r w:rsidR="00460031">
        <w:t>0</w:t>
      </w:r>
      <w:r w:rsidR="000C6C0B">
        <w:t>% and 4.</w:t>
      </w:r>
      <w:r w:rsidR="00BA0082">
        <w:t>7</w:t>
      </w:r>
      <w:r w:rsidR="000C6C0B">
        <w:t xml:space="preserve">% of entries for ‘Expense Area’ and ‘Expense Type’ </w:t>
      </w:r>
      <w:r w:rsidR="00253BE1">
        <w:t xml:space="preserve">respectively </w:t>
      </w:r>
      <w:r w:rsidR="000C6C0B">
        <w:t>were missing</w:t>
      </w:r>
      <w:r w:rsidR="00253BE1">
        <w:t>, the vast majority in just 1</w:t>
      </w:r>
      <w:r w:rsidR="00460031">
        <w:t>4</w:t>
      </w:r>
      <w:r w:rsidR="00253BE1">
        <w:t xml:space="preserve"> CCGs. </w:t>
      </w:r>
      <w:r w:rsidR="00863299">
        <w:t>In fact, although t</w:t>
      </w:r>
      <w:r w:rsidR="000C6C0B">
        <w:t xml:space="preserve">hese fields </w:t>
      </w:r>
      <w:r w:rsidR="00863299">
        <w:t xml:space="preserve">initially </w:t>
      </w:r>
      <w:r w:rsidR="00EB4298">
        <w:t xml:space="preserve">appeared </w:t>
      </w:r>
      <w:r w:rsidR="00EB4298">
        <w:lastRenderedPageBreak/>
        <w:t xml:space="preserve">useful as they </w:t>
      </w:r>
      <w:r w:rsidR="00253BE1">
        <w:t xml:space="preserve">occasionally </w:t>
      </w:r>
      <w:r w:rsidR="000C6C0B">
        <w:t>state whether a supplier was ‘Independent’, ‘Commercial’, ‘Not-for-</w:t>
      </w:r>
      <w:r w:rsidR="001554CC">
        <w:t>p</w:t>
      </w:r>
      <w:r w:rsidR="000C6C0B">
        <w:t xml:space="preserve">rofit’, </w:t>
      </w:r>
      <w:r w:rsidR="000C6C0B" w:rsidRPr="00EB4298">
        <w:t xml:space="preserve">‘Voluntary’, or ‘Public </w:t>
      </w:r>
      <w:r w:rsidR="001554CC" w:rsidRPr="00EB4298">
        <w:t>S</w:t>
      </w:r>
      <w:r w:rsidR="000C6C0B" w:rsidRPr="00EB4298">
        <w:t>ector’</w:t>
      </w:r>
      <w:r w:rsidR="00863299">
        <w:t xml:space="preserve">, </w:t>
      </w:r>
      <w:r w:rsidR="00EB4298">
        <w:t xml:space="preserve">cross-referencing </w:t>
      </w:r>
      <w:r w:rsidR="00863299">
        <w:t xml:space="preserve">against the status of </w:t>
      </w:r>
      <w:r w:rsidR="00EB4298">
        <w:t xml:space="preserve">named suppliers </w:t>
      </w:r>
      <w:r w:rsidR="00863299">
        <w:t xml:space="preserve">shows that </w:t>
      </w:r>
      <w:r w:rsidR="00EB4298">
        <w:t xml:space="preserve">these statements </w:t>
      </w:r>
      <w:r w:rsidR="00863299">
        <w:t xml:space="preserve">cannot </w:t>
      </w:r>
      <w:r w:rsidR="00EB4298">
        <w:t xml:space="preserve">used to determine </w:t>
      </w:r>
      <w:r w:rsidR="004026B8" w:rsidRPr="00EB4298">
        <w:t xml:space="preserve">whether suppliers are VCSE. </w:t>
      </w:r>
      <w:r w:rsidR="005234D7">
        <w:t>Our</w:t>
      </w:r>
      <w:r w:rsidR="00EB4298">
        <w:t xml:space="preserve"> </w:t>
      </w:r>
      <w:r w:rsidR="00863299">
        <w:t xml:space="preserve">categorisation </w:t>
      </w:r>
      <w:r w:rsidR="005234D7">
        <w:t xml:space="preserve">of suppliers thus </w:t>
      </w:r>
      <w:r w:rsidR="00EB4298">
        <w:t>rests entirely</w:t>
      </w:r>
      <w:r w:rsidR="004026B8">
        <w:t xml:space="preserve"> on </w:t>
      </w:r>
      <w:r w:rsidR="000C6C0B">
        <w:t>linking supplier names given in the accounts with organisations listed in the Charity Commission</w:t>
      </w:r>
      <w:r w:rsidR="00B84BEE">
        <w:t xml:space="preserve"> and </w:t>
      </w:r>
      <w:r w:rsidR="004026B8">
        <w:t xml:space="preserve">Company House </w:t>
      </w:r>
      <w:r w:rsidR="000C6C0B">
        <w:t>Register</w:t>
      </w:r>
      <w:r w:rsidR="004026B8">
        <w:t>s</w:t>
      </w:r>
      <w:r w:rsidR="000C6C0B">
        <w:t xml:space="preserve">, </w:t>
      </w:r>
      <w:r w:rsidR="00EB4298">
        <w:t xml:space="preserve">along </w:t>
      </w:r>
      <w:r w:rsidR="004026B8">
        <w:t xml:space="preserve">with </w:t>
      </w:r>
      <w:r w:rsidR="000C6C0B">
        <w:t xml:space="preserve">information </w:t>
      </w:r>
      <w:r w:rsidR="00B84BEE">
        <w:t>found on organisations’ websites</w:t>
      </w:r>
      <w:r w:rsidR="000C6C0B">
        <w:t>.</w:t>
      </w:r>
    </w:p>
    <w:p w14:paraId="0B37E660" w14:textId="4B4C4496" w:rsidR="009C5397" w:rsidRPr="000E4EFF" w:rsidRDefault="009C5397" w:rsidP="00CB79E6">
      <w:pPr>
        <w:pStyle w:val="TableCaption"/>
      </w:pPr>
      <w:bookmarkStart w:id="11" w:name="_Ref121828409"/>
      <w:bookmarkStart w:id="12" w:name="_Toc127795213"/>
      <w:r w:rsidRPr="000E4EFF">
        <w:t xml:space="preserve">Table </w:t>
      </w:r>
      <w:fldSimple w:instr=" SEQ Table \* ARABIC ">
        <w:r w:rsidR="00842C06">
          <w:rPr>
            <w:noProof/>
          </w:rPr>
          <w:t>2</w:t>
        </w:r>
      </w:fldSimple>
      <w:bookmarkEnd w:id="11"/>
      <w:r w:rsidRPr="000E4EFF">
        <w:t xml:space="preserve">: </w:t>
      </w:r>
      <w:r w:rsidR="00C1608D">
        <w:t>A</w:t>
      </w:r>
      <w:r w:rsidRPr="000E4EFF">
        <w:t xml:space="preserve">vailability of CCG </w:t>
      </w:r>
      <w:r w:rsidR="000B3C30">
        <w:t>“over-threshold”</w:t>
      </w:r>
      <w:r w:rsidRPr="000E4EFF">
        <w:t xml:space="preserve"> accounts</w:t>
      </w:r>
      <w:r w:rsidR="00C1608D">
        <w:t xml:space="preserve"> and resulting Analytical Dataset</w:t>
      </w:r>
      <w:bookmarkEnd w:id="12"/>
    </w:p>
    <w:tbl>
      <w:tblPr>
        <w:tblStyle w:val="GridTable1Light"/>
        <w:tblW w:w="9214" w:type="dxa"/>
        <w:tblBorders>
          <w:top w:val="single" w:sz="8" w:space="0" w:color="000000" w:themeColor="text1"/>
          <w:left w:val="none" w:sz="0" w:space="0" w:color="auto"/>
          <w:bottom w:val="single" w:sz="8" w:space="0" w:color="000000" w:themeColor="text1"/>
          <w:right w:val="none" w:sz="0" w:space="0" w:color="auto"/>
          <w:insideH w:val="single" w:sz="8" w:space="0" w:color="000000" w:themeColor="text1"/>
          <w:insideV w:val="none" w:sz="0" w:space="0" w:color="auto"/>
        </w:tblBorders>
        <w:tblLook w:val="04A0" w:firstRow="1" w:lastRow="0" w:firstColumn="1" w:lastColumn="0" w:noHBand="0" w:noVBand="1"/>
      </w:tblPr>
      <w:tblGrid>
        <w:gridCol w:w="2127"/>
        <w:gridCol w:w="2659"/>
        <w:gridCol w:w="4428"/>
      </w:tblGrid>
      <w:tr w:rsidR="00AE14CD" w:rsidRPr="000C07A1" w14:paraId="38FCE02E" w14:textId="77777777" w:rsidTr="00B84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gridSpan w:val="2"/>
            <w:tcBorders>
              <w:bottom w:val="none" w:sz="0" w:space="0" w:color="auto"/>
            </w:tcBorders>
            <w:vAlign w:val="center"/>
          </w:tcPr>
          <w:p w14:paraId="6EF21126" w14:textId="3224C8DF" w:rsidR="00AE14CD" w:rsidRPr="00CB79E6" w:rsidRDefault="00AE14CD" w:rsidP="000C07A1">
            <w:pPr>
              <w:pStyle w:val="TableText"/>
              <w:spacing w:before="40" w:after="40"/>
            </w:pPr>
            <w:r w:rsidRPr="00CB79E6">
              <w:t>No data</w:t>
            </w:r>
            <w:r w:rsidR="009C5397" w:rsidRPr="00CB79E6">
              <w:t xml:space="preserve"> available online o</w:t>
            </w:r>
            <w:r w:rsidR="000638A1" w:rsidRPr="00CB79E6">
              <w:t>r</w:t>
            </w:r>
            <w:r w:rsidR="009C5397" w:rsidRPr="00CB79E6">
              <w:t xml:space="preserve"> via FoI</w:t>
            </w:r>
            <w:r w:rsidR="00C37139" w:rsidRPr="00CB79E6">
              <w:t xml:space="preserve"> request</w:t>
            </w:r>
          </w:p>
        </w:tc>
        <w:tc>
          <w:tcPr>
            <w:tcW w:w="4428" w:type="dxa"/>
            <w:tcBorders>
              <w:bottom w:val="none" w:sz="0" w:space="0" w:color="auto"/>
            </w:tcBorders>
            <w:vAlign w:val="center"/>
          </w:tcPr>
          <w:p w14:paraId="5788DFC1" w14:textId="20AEF1D2" w:rsidR="00AE14CD" w:rsidRPr="000C07A1" w:rsidRDefault="00AE14CD" w:rsidP="000C07A1">
            <w:pPr>
              <w:pStyle w:val="TableText"/>
              <w:numPr>
                <w:ilvl w:val="0"/>
                <w:numId w:val="21"/>
              </w:numPr>
              <w:spacing w:before="40" w:after="40"/>
              <w:cnfStyle w:val="100000000000" w:firstRow="1" w:lastRow="0" w:firstColumn="0" w:lastColumn="0" w:oddVBand="0" w:evenVBand="0" w:oddHBand="0" w:evenHBand="0" w:firstRowFirstColumn="0" w:firstRowLastColumn="0" w:lastRowFirstColumn="0" w:lastRowLastColumn="0"/>
              <w:rPr>
                <w:b w:val="0"/>
                <w:bCs w:val="0"/>
              </w:rPr>
            </w:pPr>
            <w:r w:rsidRPr="000C07A1">
              <w:rPr>
                <w:b w:val="0"/>
                <w:bCs w:val="0"/>
              </w:rPr>
              <w:t>East Leicestershire and Rutland CCG</w:t>
            </w:r>
          </w:p>
        </w:tc>
      </w:tr>
      <w:tr w:rsidR="00AE14CD" w:rsidRPr="00CB79E6" w14:paraId="7FA0E738" w14:textId="77777777" w:rsidTr="00B84BEE">
        <w:tc>
          <w:tcPr>
            <w:cnfStyle w:val="001000000000" w:firstRow="0" w:lastRow="0" w:firstColumn="1" w:lastColumn="0" w:oddVBand="0" w:evenVBand="0" w:oddHBand="0" w:evenHBand="0" w:firstRowFirstColumn="0" w:firstRowLastColumn="0" w:lastRowFirstColumn="0" w:lastRowLastColumn="0"/>
            <w:tcW w:w="4786" w:type="dxa"/>
            <w:gridSpan w:val="2"/>
            <w:vAlign w:val="center"/>
          </w:tcPr>
          <w:p w14:paraId="58312238" w14:textId="1F63E9CE" w:rsidR="00AE14CD" w:rsidRPr="00CB79E6" w:rsidRDefault="00AE14CD" w:rsidP="000C07A1">
            <w:pPr>
              <w:pStyle w:val="TableText"/>
              <w:spacing w:before="40" w:after="40"/>
            </w:pPr>
            <w:r w:rsidRPr="00CB79E6">
              <w:t>No machine-readable data</w:t>
            </w:r>
            <w:r w:rsidR="009C5397" w:rsidRPr="00CB79E6">
              <w:t xml:space="preserve"> available (</w:t>
            </w:r>
            <w:r w:rsidR="00C37139" w:rsidRPr="00CB79E6">
              <w:t xml:space="preserve">badly formatted </w:t>
            </w:r>
            <w:r w:rsidR="009C5397" w:rsidRPr="00CB79E6">
              <w:t xml:space="preserve">PDF files </w:t>
            </w:r>
            <w:r w:rsidR="00C37139" w:rsidRPr="00CB79E6">
              <w:t xml:space="preserve">online </w:t>
            </w:r>
            <w:r w:rsidR="000638A1" w:rsidRPr="00CB79E6">
              <w:t xml:space="preserve">with no </w:t>
            </w:r>
            <w:r w:rsidR="00C37139" w:rsidRPr="00CB79E6">
              <w:t xml:space="preserve">alternative </w:t>
            </w:r>
            <w:r w:rsidR="00994E69" w:rsidRPr="00CB79E6">
              <w:t>made available following FoI request</w:t>
            </w:r>
            <w:r w:rsidR="009C5397" w:rsidRPr="00CB79E6">
              <w:t>)</w:t>
            </w:r>
          </w:p>
        </w:tc>
        <w:tc>
          <w:tcPr>
            <w:tcW w:w="4428" w:type="dxa"/>
            <w:vAlign w:val="center"/>
          </w:tcPr>
          <w:p w14:paraId="1E37D910" w14:textId="77777777" w:rsidR="00AE14CD" w:rsidRPr="00CB79E6" w:rsidRDefault="00AE14CD" w:rsidP="000C07A1">
            <w:pPr>
              <w:pStyle w:val="TableText"/>
              <w:numPr>
                <w:ilvl w:val="0"/>
                <w:numId w:val="21"/>
              </w:numPr>
              <w:spacing w:before="40" w:after="40"/>
              <w:cnfStyle w:val="000000000000" w:firstRow="0" w:lastRow="0" w:firstColumn="0" w:lastColumn="0" w:oddVBand="0" w:evenVBand="0" w:oddHBand="0" w:evenHBand="0" w:firstRowFirstColumn="0" w:firstRowLastColumn="0" w:lastRowFirstColumn="0" w:lastRowLastColumn="0"/>
            </w:pPr>
            <w:r w:rsidRPr="00CB79E6">
              <w:t>City &amp; Hackney CCG</w:t>
            </w:r>
          </w:p>
          <w:p w14:paraId="005A81EF" w14:textId="77777777" w:rsidR="00AE14CD" w:rsidRPr="00CB79E6" w:rsidRDefault="00AE14CD" w:rsidP="000C07A1">
            <w:pPr>
              <w:pStyle w:val="TableText"/>
              <w:numPr>
                <w:ilvl w:val="0"/>
                <w:numId w:val="21"/>
              </w:numPr>
              <w:spacing w:before="40" w:after="40"/>
              <w:cnfStyle w:val="000000000000" w:firstRow="0" w:lastRow="0" w:firstColumn="0" w:lastColumn="0" w:oddVBand="0" w:evenVBand="0" w:oddHBand="0" w:evenHBand="0" w:firstRowFirstColumn="0" w:firstRowLastColumn="0" w:lastRowFirstColumn="0" w:lastRowLastColumn="0"/>
            </w:pPr>
            <w:r w:rsidRPr="00CB79E6">
              <w:t>Newham CCG</w:t>
            </w:r>
          </w:p>
          <w:p w14:paraId="6FFAB28E" w14:textId="50A5D0F9" w:rsidR="00A1166B" w:rsidRPr="00CB79E6" w:rsidRDefault="00AE14CD" w:rsidP="000C07A1">
            <w:pPr>
              <w:pStyle w:val="TableText"/>
              <w:numPr>
                <w:ilvl w:val="0"/>
                <w:numId w:val="21"/>
              </w:numPr>
              <w:spacing w:before="40" w:after="40"/>
              <w:cnfStyle w:val="000000000000" w:firstRow="0" w:lastRow="0" w:firstColumn="0" w:lastColumn="0" w:oddVBand="0" w:evenVBand="0" w:oddHBand="0" w:evenHBand="0" w:firstRowFirstColumn="0" w:firstRowLastColumn="0" w:lastRowFirstColumn="0" w:lastRowLastColumn="0"/>
            </w:pPr>
            <w:r w:rsidRPr="00CB79E6">
              <w:t>Horsham Mid Sussex CCG</w:t>
            </w:r>
          </w:p>
        </w:tc>
      </w:tr>
      <w:tr w:rsidR="00AE14CD" w:rsidRPr="00CB79E6" w14:paraId="5E3D4B9B" w14:textId="77777777" w:rsidTr="00B84BEE">
        <w:tc>
          <w:tcPr>
            <w:cnfStyle w:val="001000000000" w:firstRow="0" w:lastRow="0" w:firstColumn="1" w:lastColumn="0" w:oddVBand="0" w:evenVBand="0" w:oddHBand="0" w:evenHBand="0" w:firstRowFirstColumn="0" w:firstRowLastColumn="0" w:lastRowFirstColumn="0" w:lastRowLastColumn="0"/>
            <w:tcW w:w="4786" w:type="dxa"/>
            <w:gridSpan w:val="2"/>
            <w:vAlign w:val="center"/>
          </w:tcPr>
          <w:p w14:paraId="5AD35670" w14:textId="3168C50C" w:rsidR="00AE14CD" w:rsidRPr="00CB79E6" w:rsidRDefault="00AE14CD" w:rsidP="000C07A1">
            <w:pPr>
              <w:pStyle w:val="TableText"/>
              <w:spacing w:before="40" w:after="40"/>
            </w:pPr>
            <w:r w:rsidRPr="00CB79E6">
              <w:t>Demonstrably unreliable data</w:t>
            </w:r>
            <w:r w:rsidR="009C5397" w:rsidRPr="00CB79E6">
              <w:t xml:space="preserve"> (serious mismatch with NHSE’s 2016-17 CCG consolidated accounts)</w:t>
            </w:r>
          </w:p>
        </w:tc>
        <w:tc>
          <w:tcPr>
            <w:tcW w:w="4428" w:type="dxa"/>
            <w:vAlign w:val="center"/>
          </w:tcPr>
          <w:p w14:paraId="78AD5DA5" w14:textId="77777777" w:rsidR="00AE14CD" w:rsidRPr="00CB79E6" w:rsidRDefault="00AE14CD" w:rsidP="000C07A1">
            <w:pPr>
              <w:pStyle w:val="TableText"/>
              <w:numPr>
                <w:ilvl w:val="0"/>
                <w:numId w:val="22"/>
              </w:numPr>
              <w:spacing w:before="40" w:after="40"/>
              <w:cnfStyle w:val="000000000000" w:firstRow="0" w:lastRow="0" w:firstColumn="0" w:lastColumn="0" w:oddVBand="0" w:evenVBand="0" w:oddHBand="0" w:evenHBand="0" w:firstRowFirstColumn="0" w:firstRowLastColumn="0" w:lastRowFirstColumn="0" w:lastRowLastColumn="0"/>
            </w:pPr>
            <w:r w:rsidRPr="00CB79E6">
              <w:t>Airedale, Wharfedale and Craven CCG</w:t>
            </w:r>
          </w:p>
          <w:p w14:paraId="78A7F3B4" w14:textId="695C3E1D" w:rsidR="00AE14CD" w:rsidRPr="00CB79E6" w:rsidRDefault="00C46CC7" w:rsidP="000C07A1">
            <w:pPr>
              <w:pStyle w:val="TableText"/>
              <w:numPr>
                <w:ilvl w:val="0"/>
                <w:numId w:val="22"/>
              </w:numPr>
              <w:spacing w:before="40" w:after="40"/>
              <w:cnfStyle w:val="000000000000" w:firstRow="0" w:lastRow="0" w:firstColumn="0" w:lastColumn="0" w:oddVBand="0" w:evenVBand="0" w:oddHBand="0" w:evenHBand="0" w:firstRowFirstColumn="0" w:firstRowLastColumn="0" w:lastRowFirstColumn="0" w:lastRowLastColumn="0"/>
            </w:pPr>
            <w:r w:rsidRPr="00CB79E6">
              <w:t>Eastern Cheshire CCG</w:t>
            </w:r>
          </w:p>
        </w:tc>
      </w:tr>
      <w:tr w:rsidR="00C1608D" w:rsidRPr="00CB79E6" w14:paraId="267D204F" w14:textId="77777777" w:rsidTr="00B84BEE">
        <w:tc>
          <w:tcPr>
            <w:cnfStyle w:val="001000000000" w:firstRow="0" w:lastRow="0" w:firstColumn="1" w:lastColumn="0" w:oddVBand="0" w:evenVBand="0" w:oddHBand="0" w:evenHBand="0" w:firstRowFirstColumn="0" w:firstRowLastColumn="0" w:lastRowFirstColumn="0" w:lastRowLastColumn="0"/>
            <w:tcW w:w="2127" w:type="dxa"/>
            <w:vAlign w:val="center"/>
          </w:tcPr>
          <w:p w14:paraId="3B98FB2B" w14:textId="2172AAD9" w:rsidR="00C1608D" w:rsidRPr="00CB79E6" w:rsidRDefault="00863299" w:rsidP="00455569">
            <w:pPr>
              <w:pStyle w:val="TableText"/>
            </w:pPr>
            <w:r>
              <w:t>Working</w:t>
            </w:r>
            <w:r w:rsidR="00C1608D" w:rsidRPr="00CB79E6">
              <w:t xml:space="preserve"> Dataset</w:t>
            </w:r>
          </w:p>
        </w:tc>
        <w:tc>
          <w:tcPr>
            <w:tcW w:w="7087" w:type="dxa"/>
            <w:gridSpan w:val="2"/>
            <w:vAlign w:val="center"/>
          </w:tcPr>
          <w:p w14:paraId="3A1D1AAE" w14:textId="2D0D4CEA" w:rsidR="00C1608D" w:rsidRPr="00CB79E6" w:rsidRDefault="00C1608D" w:rsidP="000C07A1">
            <w:pPr>
              <w:pStyle w:val="TableText"/>
              <w:numPr>
                <w:ilvl w:val="0"/>
                <w:numId w:val="23"/>
              </w:numPr>
              <w:spacing w:before="40"/>
              <w:ind w:left="714" w:hanging="357"/>
              <w:cnfStyle w:val="000000000000" w:firstRow="0" w:lastRow="0" w:firstColumn="0" w:lastColumn="0" w:oddVBand="0" w:evenVBand="0" w:oddHBand="0" w:evenHBand="0" w:firstRowFirstColumn="0" w:firstRowLastColumn="0" w:lastRowFirstColumn="0" w:lastRowLastColumn="0"/>
            </w:pPr>
            <w:r w:rsidRPr="00CB79E6">
              <w:t>189 CCGs (of total 195 CCGs in 2018-19)</w:t>
            </w:r>
          </w:p>
          <w:p w14:paraId="3511BB7A" w14:textId="3A5272A6" w:rsidR="00C1608D" w:rsidRPr="00CB79E6" w:rsidRDefault="00C1608D" w:rsidP="00455569">
            <w:pPr>
              <w:pStyle w:val="TableText"/>
              <w:numPr>
                <w:ilvl w:val="0"/>
                <w:numId w:val="23"/>
              </w:numPr>
              <w:cnfStyle w:val="000000000000" w:firstRow="0" w:lastRow="0" w:firstColumn="0" w:lastColumn="0" w:oddVBand="0" w:evenVBand="0" w:oddHBand="0" w:evenHBand="0" w:firstRowFirstColumn="0" w:firstRowLastColumn="0" w:lastRowFirstColumn="0" w:lastRowLastColumn="0"/>
            </w:pPr>
            <w:r w:rsidRPr="00CB79E6">
              <w:t>689,</w:t>
            </w:r>
            <w:r w:rsidR="00460031">
              <w:t>53</w:t>
            </w:r>
            <w:r w:rsidR="00A02899">
              <w:t>6</w:t>
            </w:r>
            <w:r w:rsidRPr="00CB79E6">
              <w:t xml:space="preserve"> records (</w:t>
            </w:r>
            <w:r w:rsidR="00863299">
              <w:t>transactions</w:t>
            </w:r>
            <w:r w:rsidRPr="00CB79E6">
              <w:t>)</w:t>
            </w:r>
          </w:p>
          <w:p w14:paraId="33C5A44C" w14:textId="491D278B" w:rsidR="00C1608D" w:rsidRPr="00CB79E6" w:rsidRDefault="00C1608D" w:rsidP="00455569">
            <w:pPr>
              <w:pStyle w:val="TableText"/>
              <w:numPr>
                <w:ilvl w:val="0"/>
                <w:numId w:val="23"/>
              </w:numPr>
              <w:cnfStyle w:val="000000000000" w:firstRow="0" w:lastRow="0" w:firstColumn="0" w:lastColumn="0" w:oddVBand="0" w:evenVBand="0" w:oddHBand="0" w:evenHBand="0" w:firstRowFirstColumn="0" w:firstRowLastColumn="0" w:lastRowFirstColumn="0" w:lastRowLastColumn="0"/>
            </w:pPr>
            <w:r w:rsidRPr="00CB79E6">
              <w:t>622,</w:t>
            </w:r>
            <w:r w:rsidR="00460031">
              <w:t>51</w:t>
            </w:r>
            <w:r w:rsidR="00A02899">
              <w:t>4</w:t>
            </w:r>
            <w:r w:rsidRPr="00CB79E6">
              <w:t xml:space="preserve"> payments (positive amounts</w:t>
            </w:r>
            <w:r w:rsidR="00863299">
              <w:t xml:space="preserve"> = expenditure</w:t>
            </w:r>
            <w:r w:rsidRPr="00CB79E6">
              <w:t>)</w:t>
            </w:r>
          </w:p>
          <w:p w14:paraId="1E702423" w14:textId="7464AE26" w:rsidR="00C1608D" w:rsidRPr="00CB79E6" w:rsidRDefault="00C1608D" w:rsidP="000C07A1">
            <w:pPr>
              <w:pStyle w:val="TableText"/>
              <w:numPr>
                <w:ilvl w:val="0"/>
                <w:numId w:val="24"/>
              </w:numPr>
              <w:ind w:left="1167"/>
              <w:cnfStyle w:val="000000000000" w:firstRow="0" w:lastRow="0" w:firstColumn="0" w:lastColumn="0" w:oddVBand="0" w:evenVBand="0" w:oddHBand="0" w:evenHBand="0" w:firstRowFirstColumn="0" w:firstRowLastColumn="0" w:lastRowFirstColumn="0" w:lastRowLastColumn="0"/>
            </w:pPr>
            <w:r w:rsidRPr="00CB79E6">
              <w:t>£</w:t>
            </w:r>
            <w:r w:rsidR="00C9468D">
              <w:t>72.1</w:t>
            </w:r>
            <w:r w:rsidR="00A02899">
              <w:t>79</w:t>
            </w:r>
            <w:r w:rsidRPr="00CB79E6">
              <w:t xml:space="preserve"> billion of expenditure</w:t>
            </w:r>
          </w:p>
          <w:p w14:paraId="17F5B134" w14:textId="6972F6DD" w:rsidR="00C1608D" w:rsidRPr="00CB79E6" w:rsidRDefault="00C1608D" w:rsidP="00455569">
            <w:pPr>
              <w:pStyle w:val="TableText"/>
              <w:numPr>
                <w:ilvl w:val="0"/>
                <w:numId w:val="23"/>
              </w:numPr>
              <w:cnfStyle w:val="000000000000" w:firstRow="0" w:lastRow="0" w:firstColumn="0" w:lastColumn="0" w:oddVBand="0" w:evenVBand="0" w:oddHBand="0" w:evenHBand="0" w:firstRowFirstColumn="0" w:firstRowLastColumn="0" w:lastRowFirstColumn="0" w:lastRowLastColumn="0"/>
            </w:pPr>
            <w:r w:rsidRPr="00CB79E6">
              <w:t>67,0</w:t>
            </w:r>
            <w:r w:rsidR="00460031">
              <w:t>22</w:t>
            </w:r>
            <w:r w:rsidRPr="00CB79E6">
              <w:t xml:space="preserve"> income receipts (negative amounts</w:t>
            </w:r>
            <w:r w:rsidR="00863299">
              <w:t xml:space="preserve"> = income</w:t>
            </w:r>
            <w:r w:rsidRPr="00CB79E6">
              <w:t>)</w:t>
            </w:r>
          </w:p>
          <w:p w14:paraId="19BE45E3" w14:textId="3CA2C6B3" w:rsidR="00C1608D" w:rsidRPr="00CB79E6" w:rsidRDefault="00C1608D" w:rsidP="000C07A1">
            <w:pPr>
              <w:pStyle w:val="TableText"/>
              <w:numPr>
                <w:ilvl w:val="0"/>
                <w:numId w:val="25"/>
              </w:numPr>
              <w:ind w:left="1167"/>
              <w:cnfStyle w:val="000000000000" w:firstRow="0" w:lastRow="0" w:firstColumn="0" w:lastColumn="0" w:oddVBand="0" w:evenVBand="0" w:oddHBand="0" w:evenHBand="0" w:firstRowFirstColumn="0" w:firstRowLastColumn="0" w:lastRowFirstColumn="0" w:lastRowLastColumn="0"/>
            </w:pPr>
            <w:r w:rsidRPr="00CB79E6">
              <w:t>£2.66</w:t>
            </w:r>
            <w:r w:rsidR="00460031">
              <w:t>8</w:t>
            </w:r>
            <w:r w:rsidRPr="00CB79E6">
              <w:t xml:space="preserve"> billion of income </w:t>
            </w:r>
          </w:p>
          <w:p w14:paraId="7FF13AFE" w14:textId="3F6A9632" w:rsidR="00C1608D" w:rsidRPr="00CB79E6" w:rsidRDefault="00C1608D" w:rsidP="00455569">
            <w:pPr>
              <w:pStyle w:val="TableText"/>
              <w:numPr>
                <w:ilvl w:val="0"/>
                <w:numId w:val="23"/>
              </w:numPr>
              <w:cnfStyle w:val="000000000000" w:firstRow="0" w:lastRow="0" w:firstColumn="0" w:lastColumn="0" w:oddVBand="0" w:evenVBand="0" w:oddHBand="0" w:evenHBand="0" w:firstRowFirstColumn="0" w:firstRowLastColumn="0" w:lastRowFirstColumn="0" w:lastRowLastColumn="0"/>
            </w:pPr>
            <w:r w:rsidRPr="00CB79E6">
              <w:t>22</w:t>
            </w:r>
            <w:r w:rsidR="00460031">
              <w:t>6,13</w:t>
            </w:r>
            <w:r w:rsidR="00A02899">
              <w:t>8</w:t>
            </w:r>
            <w:r w:rsidRPr="00CB79E6">
              <w:t xml:space="preserve"> invoices for expenditure over £25k (36.3% of total)</w:t>
            </w:r>
          </w:p>
          <w:p w14:paraId="087909E4" w14:textId="5DF13EE2" w:rsidR="00C1608D" w:rsidRPr="00CB79E6" w:rsidRDefault="00C1608D" w:rsidP="000C07A1">
            <w:pPr>
              <w:pStyle w:val="TableText"/>
              <w:numPr>
                <w:ilvl w:val="0"/>
                <w:numId w:val="26"/>
              </w:numPr>
              <w:spacing w:after="40"/>
              <w:ind w:left="1167"/>
              <w:cnfStyle w:val="000000000000" w:firstRow="0" w:lastRow="0" w:firstColumn="0" w:lastColumn="0" w:oddVBand="0" w:evenVBand="0" w:oddHBand="0" w:evenHBand="0" w:firstRowFirstColumn="0" w:firstRowLastColumn="0" w:lastRowFirstColumn="0" w:lastRowLastColumn="0"/>
            </w:pPr>
            <w:r w:rsidRPr="00CB79E6">
              <w:t>£70.</w:t>
            </w:r>
            <w:r w:rsidR="00460031">
              <w:t>52</w:t>
            </w:r>
            <w:r w:rsidR="00A02899">
              <w:t>5</w:t>
            </w:r>
            <w:r w:rsidR="00460031">
              <w:t xml:space="preserve"> </w:t>
            </w:r>
            <w:r w:rsidRPr="00CB79E6">
              <w:t>expenditure via invoices over £25k (97.7% of total)</w:t>
            </w:r>
          </w:p>
        </w:tc>
      </w:tr>
    </w:tbl>
    <w:p w14:paraId="28A3D846" w14:textId="77777777" w:rsidR="009C5397" w:rsidRPr="00FA73B4" w:rsidRDefault="009C5397" w:rsidP="009C5397">
      <w:pPr>
        <w:pStyle w:val="AfterTableGap"/>
      </w:pPr>
    </w:p>
    <w:p w14:paraId="69578F4D" w14:textId="15C26BFF" w:rsidR="00531B10" w:rsidRPr="0063598C" w:rsidRDefault="00703F83" w:rsidP="00D96805">
      <w:pPr>
        <w:pStyle w:val="Heading2"/>
      </w:pPr>
      <w:bookmarkStart w:id="13" w:name="_Toc127795201"/>
      <w:r w:rsidRPr="0063598C">
        <w:t xml:space="preserve">Focusing on </w:t>
      </w:r>
      <w:r w:rsidR="00CD6591">
        <w:t xml:space="preserve">invoices </w:t>
      </w:r>
      <w:r w:rsidRPr="0063598C">
        <w:t>&gt;£25k</w:t>
      </w:r>
      <w:bookmarkEnd w:id="13"/>
    </w:p>
    <w:p w14:paraId="36060496" w14:textId="79F1B581" w:rsidR="007F1661" w:rsidRDefault="007F1661" w:rsidP="00CB79E6">
      <w:pPr>
        <w:pStyle w:val="BodyText"/>
      </w:pPr>
      <w:r>
        <w:t>A</w:t>
      </w:r>
      <w:r w:rsidR="004026B8">
        <w:t xml:space="preserve">n important </w:t>
      </w:r>
      <w:r>
        <w:t>difference between CCG</w:t>
      </w:r>
      <w:r w:rsidR="00203A98">
        <w:t xml:space="preserve"> account</w:t>
      </w:r>
      <w:r>
        <w:t xml:space="preserve">s </w:t>
      </w:r>
      <w:r w:rsidR="00E76ED8">
        <w:t>wa</w:t>
      </w:r>
      <w:r>
        <w:t>s the extent to which the</w:t>
      </w:r>
      <w:r w:rsidR="00203A98">
        <w:t>y</w:t>
      </w:r>
      <w:r>
        <w:t xml:space="preserve"> observed the </w:t>
      </w:r>
      <w:r w:rsidR="00E121A6">
        <w:t xml:space="preserve">recommended </w:t>
      </w:r>
      <w:r>
        <w:t xml:space="preserve">&gt;£25k threshold.  As illustrated </w:t>
      </w:r>
      <w:r w:rsidR="00E121A6">
        <w:t>in</w:t>
      </w:r>
      <w:r>
        <w:t xml:space="preserve"> </w:t>
      </w:r>
      <w:r>
        <w:fldChar w:fldCharType="begin"/>
      </w:r>
      <w:r>
        <w:instrText xml:space="preserve"> REF _Ref121851226 \h </w:instrText>
      </w:r>
      <w:r>
        <w:fldChar w:fldCharType="separate"/>
      </w:r>
      <w:r w:rsidR="00842C06" w:rsidRPr="00CB79E6">
        <w:t xml:space="preserve">Figure </w:t>
      </w:r>
      <w:r w:rsidR="00842C06">
        <w:rPr>
          <w:noProof/>
        </w:rPr>
        <w:t>1</w:t>
      </w:r>
      <w:r>
        <w:fldChar w:fldCharType="end"/>
      </w:r>
      <w:r>
        <w:t xml:space="preserve"> below, </w:t>
      </w:r>
      <w:r w:rsidR="00203A98">
        <w:t xml:space="preserve">this varied hugely; from the 21 CCGs which only contained invoices over £25k through to Merton, </w:t>
      </w:r>
      <w:proofErr w:type="gramStart"/>
      <w:r w:rsidR="00203A98">
        <w:t>Gloucestershire</w:t>
      </w:r>
      <w:proofErr w:type="gramEnd"/>
      <w:r w:rsidR="00203A98">
        <w:t xml:space="preserve"> and Wandsworth CCGs where </w:t>
      </w:r>
      <w:r w:rsidR="001554CC">
        <w:t>more than 9</w:t>
      </w:r>
      <w:r w:rsidR="00203A98">
        <w:t xml:space="preserve">0% of invoices were for sums </w:t>
      </w:r>
      <w:r w:rsidR="001554CC">
        <w:t xml:space="preserve">less </w:t>
      </w:r>
      <w:r w:rsidR="00203A98">
        <w:t xml:space="preserve">than £25k. </w:t>
      </w:r>
      <w:r w:rsidR="00863299">
        <w:t xml:space="preserve">This </w:t>
      </w:r>
      <w:r w:rsidR="005234D7">
        <w:t xml:space="preserve">undoubtedly </w:t>
      </w:r>
      <w:r w:rsidR="00863299">
        <w:t>reflect</w:t>
      </w:r>
      <w:r w:rsidR="005234D7">
        <w:t>s</w:t>
      </w:r>
      <w:r w:rsidR="00863299">
        <w:t xml:space="preserve"> variations </w:t>
      </w:r>
      <w:r w:rsidR="00BC383B">
        <w:t>in recording practice rather than actual expenditure.</w:t>
      </w:r>
    </w:p>
    <w:p w14:paraId="01BE3595" w14:textId="3B38FBEB" w:rsidR="004026B8" w:rsidRDefault="004026B8" w:rsidP="00CB79E6">
      <w:pPr>
        <w:pStyle w:val="BodyText"/>
      </w:pPr>
      <w:r>
        <w:t xml:space="preserve">To ensure like-for-like </w:t>
      </w:r>
      <w:r w:rsidR="00EB4298">
        <w:t xml:space="preserve">CCG </w:t>
      </w:r>
      <w:r>
        <w:t>comparisons, all invoices of less than £25k</w:t>
      </w:r>
      <w:r w:rsidRPr="009F7D9F">
        <w:t xml:space="preserve"> </w:t>
      </w:r>
      <w:r w:rsidR="00BC383B">
        <w:t>have been</w:t>
      </w:r>
      <w:r>
        <w:t xml:space="preserve"> stripped from </w:t>
      </w:r>
      <w:r w:rsidR="00863299">
        <w:t>the working dataset</w:t>
      </w:r>
      <w:r>
        <w:t xml:space="preserve">. This reduced the number of </w:t>
      </w:r>
      <w:r w:rsidRPr="003A0B7A">
        <w:t xml:space="preserve">uniquely </w:t>
      </w:r>
      <w:r w:rsidRPr="00203A98">
        <w:rPr>
          <w:i/>
          <w:iCs/>
        </w:rPr>
        <w:t>named</w:t>
      </w:r>
      <w:r>
        <w:t xml:space="preserve"> suppliers from 13,</w:t>
      </w:r>
      <w:r w:rsidR="00460031">
        <w:t>4</w:t>
      </w:r>
      <w:r w:rsidR="00A02899">
        <w:t>55</w:t>
      </w:r>
      <w:r>
        <w:t xml:space="preserve"> to 10,9</w:t>
      </w:r>
      <w:r w:rsidR="00A02899">
        <w:t>30</w:t>
      </w:r>
      <w:r>
        <w:t xml:space="preserve"> although, reflecting a frustrating level of imprecision in the use of supplier names, this represents around </w:t>
      </w:r>
      <w:r w:rsidRPr="00E76ED8">
        <w:t>10,</w:t>
      </w:r>
      <w:r w:rsidR="00B84BEE">
        <w:t>5</w:t>
      </w:r>
      <w:r w:rsidR="00A02899">
        <w:t>62</w:t>
      </w:r>
      <w:r>
        <w:t xml:space="preserve"> unique suppliers. This can only be a ‘best estimate’ as algorithmic fuzzy matching and manual interrogation of supplier names cannot capture all instances where different names were used to describe the same company</w:t>
      </w:r>
      <w:r w:rsidR="003A0B7A">
        <w:t>. For instance, the</w:t>
      </w:r>
      <w:r>
        <w:t xml:space="preserve"> company called “ACCI” in one place is (almost certainly) what is elsewhere known as the </w:t>
      </w:r>
      <w:r>
        <w:lastRenderedPageBreak/>
        <w:t>“African</w:t>
      </w:r>
      <w:r w:rsidRPr="009F7D9F">
        <w:t xml:space="preserve"> </w:t>
      </w:r>
      <w:r>
        <w:t>Caribbean</w:t>
      </w:r>
      <w:r w:rsidRPr="009F7D9F">
        <w:t xml:space="preserve"> </w:t>
      </w:r>
      <w:r>
        <w:t>Community Initiative”. Innumerable such instances have been found, but, inevitably, many will have been missed.</w:t>
      </w:r>
    </w:p>
    <w:p w14:paraId="74DAB2B8" w14:textId="77777777" w:rsidR="007F1661" w:rsidRDefault="007F1661" w:rsidP="00B661B9">
      <w:pPr>
        <w:pStyle w:val="BodyText"/>
        <w:keepNext/>
      </w:pPr>
      <w:r>
        <w:rPr>
          <w:noProof/>
        </w:rPr>
        <w:drawing>
          <wp:inline distT="0" distB="0" distL="0" distR="0" wp14:anchorId="6F2A5C1E" wp14:editId="53EAD469">
            <wp:extent cx="5731510" cy="2148205"/>
            <wp:effectExtent l="0" t="0" r="0" b="0"/>
            <wp:docPr id="4" name="Picture 4"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1BCCAC53" w14:textId="52DE3CA3" w:rsidR="003911D3" w:rsidRPr="00CB79E6" w:rsidRDefault="007F1661" w:rsidP="00E31C7A">
      <w:pPr>
        <w:pStyle w:val="FigureCaption"/>
      </w:pPr>
      <w:bookmarkStart w:id="14" w:name="_Ref121851226"/>
      <w:bookmarkStart w:id="15" w:name="_Toc127795232"/>
      <w:r w:rsidRPr="00CB79E6">
        <w:t xml:space="preserve">Figure </w:t>
      </w:r>
      <w:fldSimple w:instr=" SEQ Figure \* ARABIC ">
        <w:r w:rsidR="006118DB">
          <w:rPr>
            <w:noProof/>
          </w:rPr>
          <w:t>1</w:t>
        </w:r>
      </w:fldSimple>
      <w:bookmarkEnd w:id="14"/>
      <w:r w:rsidRPr="00CB79E6">
        <w:t>: Percent invoices &gt;£25k by CCG</w:t>
      </w:r>
      <w:bookmarkEnd w:id="15"/>
    </w:p>
    <w:p w14:paraId="7EE35179" w14:textId="50F7E83A" w:rsidR="00364B8A" w:rsidRPr="0063598C" w:rsidRDefault="0030257E" w:rsidP="00D96805">
      <w:pPr>
        <w:pStyle w:val="Heading2"/>
      </w:pPr>
      <w:bookmarkStart w:id="16" w:name="_Toc127795202"/>
      <w:r>
        <w:t>Generic ‘</w:t>
      </w:r>
      <w:r w:rsidR="00CD6591">
        <w:t>Supplier</w:t>
      </w:r>
      <w:r>
        <w:t>s’ and Ad Hoc</w:t>
      </w:r>
      <w:r w:rsidR="00CD6591">
        <w:t xml:space="preserve"> </w:t>
      </w:r>
      <w:r w:rsidR="00364B8A">
        <w:t>Exclusions</w:t>
      </w:r>
      <w:bookmarkEnd w:id="16"/>
    </w:p>
    <w:p w14:paraId="6E095CD3" w14:textId="0453069F" w:rsidR="009F7D9F" w:rsidRDefault="009F7D9F" w:rsidP="00CB79E6">
      <w:pPr>
        <w:pStyle w:val="BodyText"/>
      </w:pPr>
      <w:r>
        <w:t xml:space="preserve">There is a </w:t>
      </w:r>
      <w:r w:rsidR="001A063F">
        <w:t xml:space="preserve">small but significant number of </w:t>
      </w:r>
      <w:r w:rsidR="009040C1">
        <w:t xml:space="preserve">suppliers </w:t>
      </w:r>
      <w:r w:rsidR="0032171E">
        <w:t xml:space="preserve">named </w:t>
      </w:r>
      <w:r w:rsidR="009040C1">
        <w:t xml:space="preserve">‘GP’, </w:t>
      </w:r>
      <w:r w:rsidR="0030257E">
        <w:t xml:space="preserve">‘Primary Care’ and </w:t>
      </w:r>
      <w:r w:rsidR="001878B2">
        <w:t>’Prescribing Support Services’</w:t>
      </w:r>
      <w:r w:rsidR="009040C1">
        <w:t xml:space="preserve">.  </w:t>
      </w:r>
      <w:r>
        <w:t xml:space="preserve">Company House includes ‘GP Ltd’, </w:t>
      </w:r>
      <w:r w:rsidR="0030257E">
        <w:t>‘Primary Care Limited’ and</w:t>
      </w:r>
      <w:r w:rsidR="001878B2">
        <w:t xml:space="preserve"> ’Prescribing Support Services Limited’</w:t>
      </w:r>
      <w:r>
        <w:t xml:space="preserve">, but it </w:t>
      </w:r>
      <w:r w:rsidR="0030257E">
        <w:t xml:space="preserve">seems </w:t>
      </w:r>
      <w:r w:rsidR="00BC383B">
        <w:t xml:space="preserve">highly likely </w:t>
      </w:r>
      <w:r>
        <w:t>that the</w:t>
      </w:r>
      <w:r w:rsidR="00E76ED8">
        <w:t>se</w:t>
      </w:r>
      <w:r>
        <w:t xml:space="preserve"> names </w:t>
      </w:r>
      <w:r w:rsidR="003A0B7A">
        <w:t>we</w:t>
      </w:r>
      <w:r>
        <w:t xml:space="preserve">re </w:t>
      </w:r>
      <w:r w:rsidR="0032171E">
        <w:t xml:space="preserve">being used </w:t>
      </w:r>
      <w:r>
        <w:t>generic</w:t>
      </w:r>
      <w:r w:rsidR="0032171E">
        <w:t>ally</w:t>
      </w:r>
      <w:r w:rsidR="00456302">
        <w:t>.</w:t>
      </w:r>
      <w:r>
        <w:t xml:space="preserve"> </w:t>
      </w:r>
      <w:r w:rsidR="0030257E">
        <w:t xml:space="preserve">These supplier </w:t>
      </w:r>
      <w:r w:rsidR="00EB4298">
        <w:t>‘</w:t>
      </w:r>
      <w:r w:rsidR="0030257E">
        <w:t>names</w:t>
      </w:r>
      <w:r w:rsidR="00EB4298">
        <w:t>’</w:t>
      </w:r>
      <w:r w:rsidR="0030257E">
        <w:t xml:space="preserve"> have been retained in the analytical dataset (and the first two categorised as ‘GP Services’)</w:t>
      </w:r>
      <w:r w:rsidR="00C83A3A">
        <w:t>,</w:t>
      </w:r>
      <w:r w:rsidR="0030257E">
        <w:t xml:space="preserve"> but </w:t>
      </w:r>
      <w:r w:rsidR="00C83A3A">
        <w:t xml:space="preserve">they </w:t>
      </w:r>
      <w:r w:rsidR="0030257E">
        <w:t xml:space="preserve">will </w:t>
      </w:r>
      <w:r w:rsidR="00BA0082">
        <w:t xml:space="preserve">clearly </w:t>
      </w:r>
      <w:r w:rsidR="0030257E">
        <w:t>refer to an unknown number of individual suppliers. T</w:t>
      </w:r>
      <w:r>
        <w:t xml:space="preserve">here are </w:t>
      </w:r>
      <w:r w:rsidR="0030257E">
        <w:t xml:space="preserve">also </w:t>
      </w:r>
      <w:r>
        <w:t>a number of Personal Health Budget</w:t>
      </w:r>
      <w:r w:rsidR="00C83A3A">
        <w:t xml:space="preserve"> (PHB) and Continuing Healthcare (CHC)</w:t>
      </w:r>
      <w:r>
        <w:t xml:space="preserve"> </w:t>
      </w:r>
      <w:r w:rsidR="00C83A3A">
        <w:t xml:space="preserve">payments made to </w:t>
      </w:r>
      <w:r>
        <w:t xml:space="preserve">individuals </w:t>
      </w:r>
      <w:r w:rsidR="00C83A3A">
        <w:t xml:space="preserve">– </w:t>
      </w:r>
      <w:r w:rsidR="00B84BEE">
        <w:t xml:space="preserve">identified </w:t>
      </w:r>
      <w:r w:rsidR="00C83A3A">
        <w:t>by name, anonymised coded name (e.g. ‘</w:t>
      </w:r>
      <w:r w:rsidR="00C83A3A" w:rsidRPr="00C83A3A">
        <w:t>02EKS2540</w:t>
      </w:r>
      <w:r w:rsidR="00C83A3A">
        <w:t xml:space="preserve">’) </w:t>
      </w:r>
      <w:r>
        <w:t>or, mo</w:t>
      </w:r>
      <w:r w:rsidR="00BA0082">
        <w:t>st</w:t>
      </w:r>
      <w:r>
        <w:t xml:space="preserve"> commonly, </w:t>
      </w:r>
      <w:r w:rsidR="00B84BEE">
        <w:t>as</w:t>
      </w:r>
      <w:r>
        <w:t xml:space="preserve"> ‘REDACTED’</w:t>
      </w:r>
      <w:r w:rsidR="00C83A3A">
        <w:t xml:space="preserve">. </w:t>
      </w:r>
      <w:r w:rsidR="00C83A3A" w:rsidRPr="00C83A3A">
        <w:t xml:space="preserve">All payments to individuals </w:t>
      </w:r>
      <w:r w:rsidRPr="00C83A3A">
        <w:t>have been excluded</w:t>
      </w:r>
      <w:r w:rsidR="001810A8" w:rsidRPr="00C83A3A">
        <w:t xml:space="preserve"> from </w:t>
      </w:r>
      <w:r w:rsidR="00C83A3A" w:rsidRPr="00C83A3A">
        <w:t>the</w:t>
      </w:r>
      <w:r w:rsidR="001810A8" w:rsidRPr="00C83A3A">
        <w:t xml:space="preserve"> </w:t>
      </w:r>
      <w:r w:rsidR="001810A8" w:rsidRPr="00BC383B">
        <w:t>analytical dataset</w:t>
      </w:r>
      <w:r w:rsidR="00701DCA" w:rsidRPr="00BC383B">
        <w:t>.</w:t>
      </w:r>
      <w:r w:rsidR="001810A8" w:rsidRPr="00C83A3A">
        <w:t>.</w:t>
      </w:r>
    </w:p>
    <w:p w14:paraId="59AD2A55" w14:textId="215D321E" w:rsidR="00E121A6" w:rsidRDefault="0076588E" w:rsidP="00843D07">
      <w:pPr>
        <w:pStyle w:val="BodyText"/>
        <w:pBdr>
          <w:top w:val="single" w:sz="4" w:space="1" w:color="auto"/>
          <w:left w:val="single" w:sz="4" w:space="4" w:color="auto"/>
          <w:bottom w:val="single" w:sz="4" w:space="1" w:color="auto"/>
          <w:right w:val="single" w:sz="4" w:space="4" w:color="auto"/>
        </w:pBdr>
      </w:pPr>
      <w:r>
        <w:t xml:space="preserve">Recognising such limitations, </w:t>
      </w:r>
      <w:r w:rsidR="00560B65">
        <w:t>the</w:t>
      </w:r>
      <w:r w:rsidR="0032171E">
        <w:t xml:space="preserve"> </w:t>
      </w:r>
      <w:r w:rsidR="0063598C" w:rsidRPr="00BC383B">
        <w:rPr>
          <w:b/>
          <w:bCs/>
          <w:i/>
          <w:iCs/>
        </w:rPr>
        <w:t xml:space="preserve">analytical </w:t>
      </w:r>
      <w:r w:rsidR="0032171E" w:rsidRPr="00BC383B">
        <w:rPr>
          <w:b/>
          <w:bCs/>
          <w:i/>
          <w:iCs/>
        </w:rPr>
        <w:t>dataset</w:t>
      </w:r>
      <w:r w:rsidR="0032171E">
        <w:t xml:space="preserve"> </w:t>
      </w:r>
      <w:r w:rsidR="005234D7">
        <w:t>(</w:t>
      </w:r>
      <w:r w:rsidR="00701DCA">
        <w:t xml:space="preserve">available on </w:t>
      </w:r>
      <w:r w:rsidR="00701DCA" w:rsidRPr="00701DCA">
        <w:rPr>
          <w:i/>
          <w:iCs/>
        </w:rPr>
        <w:t>github</w:t>
      </w:r>
      <w:r w:rsidR="005234D7">
        <w:rPr>
          <w:i/>
          <w:iCs/>
        </w:rPr>
        <w:t>)</w:t>
      </w:r>
      <w:r w:rsidR="0032171E">
        <w:t xml:space="preserve"> </w:t>
      </w:r>
      <w:r w:rsidR="005234D7">
        <w:t xml:space="preserve">includes </w:t>
      </w:r>
      <w:r w:rsidR="005234D7" w:rsidRPr="00560B65">
        <w:t>225,</w:t>
      </w:r>
      <w:r w:rsidR="00A02899">
        <w:t>88</w:t>
      </w:r>
      <w:r w:rsidR="005234D7">
        <w:t xml:space="preserve">9 invoices of £25k or more across 189 CCGs and refers to </w:t>
      </w:r>
      <w:r w:rsidR="001554CC">
        <w:t>10,</w:t>
      </w:r>
      <w:r w:rsidR="00B84BEE">
        <w:t>4</w:t>
      </w:r>
      <w:r w:rsidR="00460031">
        <w:t xml:space="preserve">78 </w:t>
      </w:r>
      <w:r w:rsidR="009F7D9F">
        <w:t>unique suppliers</w:t>
      </w:r>
      <w:r w:rsidR="005234D7">
        <w:t>.</w:t>
      </w:r>
      <w:r w:rsidR="0032171E">
        <w:t xml:space="preserve"> </w:t>
      </w:r>
      <w:r w:rsidR="009F7D9F">
        <w:t>The</w:t>
      </w:r>
      <w:r w:rsidR="005234D7">
        <w:t xml:space="preserve">se transactions </w:t>
      </w:r>
      <w:r w:rsidR="0032171E">
        <w:t>account for £</w:t>
      </w:r>
      <w:r w:rsidR="00560B65" w:rsidRPr="00560B65">
        <w:t>70</w:t>
      </w:r>
      <w:r w:rsidR="00560B65">
        <w:t>.</w:t>
      </w:r>
      <w:r w:rsidR="00560B65" w:rsidRPr="00560B65">
        <w:t>4</w:t>
      </w:r>
      <w:r w:rsidR="00A02899">
        <w:t>96</w:t>
      </w:r>
      <w:r w:rsidR="00460031">
        <w:t xml:space="preserve"> </w:t>
      </w:r>
      <w:r w:rsidR="0032171E">
        <w:t xml:space="preserve">billion, </w:t>
      </w:r>
      <w:r w:rsidR="005234D7">
        <w:t xml:space="preserve">which is </w:t>
      </w:r>
      <w:r w:rsidR="0032171E">
        <w:t>9</w:t>
      </w:r>
      <w:r w:rsidR="00074E49">
        <w:t>7.</w:t>
      </w:r>
      <w:r w:rsidR="00A02899">
        <w:t>7</w:t>
      </w:r>
      <w:r w:rsidR="0032171E">
        <w:t xml:space="preserve">% of total </w:t>
      </w:r>
      <w:r w:rsidR="00E121A6">
        <w:t>CCG expenditure</w:t>
      </w:r>
      <w:r>
        <w:t xml:space="preserve">. </w:t>
      </w:r>
    </w:p>
    <w:p w14:paraId="4F50A421" w14:textId="54120D31" w:rsidR="00364B8A" w:rsidRPr="0063598C" w:rsidRDefault="00E2780D" w:rsidP="00D96805">
      <w:pPr>
        <w:pStyle w:val="Heading2"/>
      </w:pPr>
      <w:bookmarkStart w:id="17" w:name="_Toc127795203"/>
      <w:r>
        <w:t xml:space="preserve">Recognising </w:t>
      </w:r>
      <w:r w:rsidR="000B3C30">
        <w:t>the potential impact of using data for 2018/19</w:t>
      </w:r>
      <w:bookmarkEnd w:id="17"/>
    </w:p>
    <w:p w14:paraId="734766F7" w14:textId="7F70F67D" w:rsidR="00B707D0" w:rsidRDefault="0076588E" w:rsidP="00CB79E6">
      <w:pPr>
        <w:pStyle w:val="BodyText"/>
      </w:pPr>
      <w:r>
        <w:t xml:space="preserve">The largest suppliers to CCGs </w:t>
      </w:r>
      <w:r w:rsidR="0063598C">
        <w:t>we</w:t>
      </w:r>
      <w:r>
        <w:t xml:space="preserve">re </w:t>
      </w:r>
      <w:r w:rsidR="003808F0">
        <w:t xml:space="preserve">the </w:t>
      </w:r>
      <w:r>
        <w:t xml:space="preserve">NHS </w:t>
      </w:r>
      <w:r w:rsidR="008E5CDA">
        <w:t>t</w:t>
      </w:r>
      <w:r>
        <w:t>rusts</w:t>
      </w:r>
      <w:r w:rsidR="003808F0">
        <w:t xml:space="preserve"> </w:t>
      </w:r>
      <w:r w:rsidR="00074E49">
        <w:t xml:space="preserve">and Local Authorities </w:t>
      </w:r>
      <w:r w:rsidR="00BC383B">
        <w:t xml:space="preserve">(LAs) </w:t>
      </w:r>
      <w:r w:rsidR="003808F0">
        <w:t>which undertook the vast bulk of clinical</w:t>
      </w:r>
      <w:r w:rsidR="00074E49">
        <w:t>, mental health and community service activity.</w:t>
      </w:r>
      <w:r w:rsidR="003808F0">
        <w:t xml:space="preserve"> Thus</w:t>
      </w:r>
      <w:r w:rsidR="00B707D0">
        <w:t>, nationally,</w:t>
      </w:r>
      <w:r w:rsidR="003808F0">
        <w:t xml:space="preserve"> </w:t>
      </w:r>
      <w:r w:rsidR="00074E49">
        <w:t xml:space="preserve">LAs and </w:t>
      </w:r>
      <w:r w:rsidR="003808F0">
        <w:t xml:space="preserve">NHS </w:t>
      </w:r>
      <w:r w:rsidR="00863EE6">
        <w:t>trust</w:t>
      </w:r>
      <w:r w:rsidR="003808F0">
        <w:t xml:space="preserve">s </w:t>
      </w:r>
      <w:r w:rsidR="00074E49">
        <w:t>account for 83.</w:t>
      </w:r>
      <w:r w:rsidR="00126AE2">
        <w:t>3</w:t>
      </w:r>
      <w:r w:rsidR="003808F0">
        <w:t xml:space="preserve">% of all </w:t>
      </w:r>
      <w:r w:rsidR="00CD6591">
        <w:t xml:space="preserve">2018-19 </w:t>
      </w:r>
      <w:r w:rsidR="00A02899">
        <w:t xml:space="preserve">expenditure by way of </w:t>
      </w:r>
      <w:r w:rsidR="00843D07">
        <w:t>invoices</w:t>
      </w:r>
      <w:r w:rsidR="00074E49">
        <w:t xml:space="preserve"> </w:t>
      </w:r>
      <w:r w:rsidR="003808F0">
        <w:t>over £25k</w:t>
      </w:r>
      <w:r w:rsidR="00B707D0">
        <w:t xml:space="preserve"> although, as indicated </w:t>
      </w:r>
      <w:r w:rsidR="003808F0">
        <w:t xml:space="preserve">in </w:t>
      </w:r>
      <w:r w:rsidR="00766328">
        <w:fldChar w:fldCharType="begin"/>
      </w:r>
      <w:r w:rsidR="00766328">
        <w:instrText xml:space="preserve"> REF _Ref122037347 \h </w:instrText>
      </w:r>
      <w:r w:rsidR="00766328">
        <w:fldChar w:fldCharType="separate"/>
      </w:r>
      <w:r w:rsidR="00842C06" w:rsidRPr="00701DCA">
        <w:t xml:space="preserve">Figure </w:t>
      </w:r>
      <w:r w:rsidR="00842C06">
        <w:rPr>
          <w:noProof/>
        </w:rPr>
        <w:t>2</w:t>
      </w:r>
      <w:r w:rsidR="00766328">
        <w:fldChar w:fldCharType="end"/>
      </w:r>
      <w:r w:rsidR="00766328">
        <w:t xml:space="preserve"> </w:t>
      </w:r>
      <w:r w:rsidR="003808F0">
        <w:t xml:space="preserve">below, </w:t>
      </w:r>
      <w:r w:rsidR="00B707D0">
        <w:t>this varied significantly between CCGs</w:t>
      </w:r>
      <w:r w:rsidR="00780C71">
        <w:t xml:space="preserve">; from </w:t>
      </w:r>
      <w:r w:rsidR="00B707D0">
        <w:t xml:space="preserve">only </w:t>
      </w:r>
      <w:r w:rsidR="00766328">
        <w:t>52.7</w:t>
      </w:r>
      <w:r w:rsidR="00B707D0">
        <w:t xml:space="preserve">% </w:t>
      </w:r>
      <w:r w:rsidR="00766328">
        <w:t xml:space="preserve">and 57.3% in </w:t>
      </w:r>
      <w:r w:rsidR="00B707D0" w:rsidRPr="00B707D0">
        <w:t xml:space="preserve">East Staffordshire </w:t>
      </w:r>
      <w:r w:rsidR="00766328">
        <w:t xml:space="preserve">and North East Lincolnshire </w:t>
      </w:r>
      <w:r w:rsidR="00766328">
        <w:lastRenderedPageBreak/>
        <w:t xml:space="preserve">respectively, to over 90% in </w:t>
      </w:r>
      <w:r w:rsidR="000639F1">
        <w:t>seven</w:t>
      </w:r>
      <w:r w:rsidR="00766328">
        <w:t xml:space="preserve"> CCGs (Wirral, South Sefton, Thurrock, Manchester, South Devon &amp; Torbay, Morecambe Bay and</w:t>
      </w:r>
      <w:r w:rsidR="00863EE6">
        <w:t xml:space="preserve"> </w:t>
      </w:r>
      <w:r w:rsidR="00766328">
        <w:t>Crawley).</w:t>
      </w:r>
    </w:p>
    <w:p w14:paraId="6A73E75B" w14:textId="2C648ABF" w:rsidR="003A0B7A" w:rsidRDefault="003A0B7A" w:rsidP="00CB79E6">
      <w:pPr>
        <w:pStyle w:val="BodyText"/>
      </w:pPr>
      <w:r>
        <w:t xml:space="preserve">This reflects the extent to which </w:t>
      </w:r>
      <w:r w:rsidR="00843D07">
        <w:t xml:space="preserve">different </w:t>
      </w:r>
      <w:r>
        <w:t>CCGs were</w:t>
      </w:r>
      <w:r w:rsidR="000B3C30">
        <w:t>, at that time,</w:t>
      </w:r>
      <w:r>
        <w:t xml:space="preserve"> commission</w:t>
      </w:r>
      <w:r w:rsidR="000B3C30">
        <w:t>ing</w:t>
      </w:r>
      <w:r>
        <w:t xml:space="preserve"> independent service providers, whether </w:t>
      </w:r>
      <w:r w:rsidR="00843D07">
        <w:t>corporate</w:t>
      </w:r>
      <w:r>
        <w:t xml:space="preserve"> or VCSE</w:t>
      </w:r>
      <w:r w:rsidR="000766E4">
        <w:t xml:space="preserve"> (see </w:t>
      </w:r>
      <w:r w:rsidR="00B3010E">
        <w:t xml:space="preserve">Section </w:t>
      </w:r>
      <w:r w:rsidR="00B3010E">
        <w:fldChar w:fldCharType="begin"/>
      </w:r>
      <w:r w:rsidR="00B3010E">
        <w:instrText xml:space="preserve"> REF _Ref126522158 \r \p \h </w:instrText>
      </w:r>
      <w:r w:rsidR="00B3010E">
        <w:fldChar w:fldCharType="separate"/>
      </w:r>
      <w:r w:rsidR="00B3010E">
        <w:t>7 below</w:t>
      </w:r>
      <w:r w:rsidR="00B3010E">
        <w:fldChar w:fldCharType="end"/>
      </w:r>
      <w:r w:rsidR="00B3010E">
        <w:t>)</w:t>
      </w:r>
      <w:r>
        <w:t xml:space="preserve">. In North East Lincolnshire, for instance, two Community Interest Companies (Navigo and Focus Independent Social Work CIC) and a Community Benefit Society (Care Plus Group (North East Lincolnshire) Ltd) accounted for 24.7% of all CCG expenditure.  In East Staffordshire, meanwhile, </w:t>
      </w:r>
      <w:r w:rsidR="00843D07">
        <w:t xml:space="preserve">30.9% of CCG spend was </w:t>
      </w:r>
      <w:r w:rsidR="00DA31ED">
        <w:t xml:space="preserve">received by </w:t>
      </w:r>
      <w:r>
        <w:t>Virgin Care Services</w:t>
      </w:r>
      <w:r w:rsidR="00DA31ED">
        <w:t xml:space="preserve">. </w:t>
      </w:r>
      <w:r w:rsidR="000B3C30">
        <w:t>Its</w:t>
      </w:r>
      <w:r w:rsidR="008B2C00">
        <w:t xml:space="preserve"> involvement was, however, short-lived as, following a contractual dispute, on 1</w:t>
      </w:r>
      <w:r w:rsidR="008B2C00" w:rsidRPr="00B5587F">
        <w:rPr>
          <w:vertAlign w:val="superscript"/>
        </w:rPr>
        <w:t>st</w:t>
      </w:r>
      <w:r w:rsidR="008B2C00">
        <w:t xml:space="preserve"> April 2020 the Midlands Partnership NHS Foundation Trust took over services previously provided by Virgin Care. </w:t>
      </w:r>
      <w:r w:rsidR="00DA31ED">
        <w:t xml:space="preserve">At the </w:t>
      </w:r>
      <w:r w:rsidR="00843D07">
        <w:t>time part of the Virgin Group</w:t>
      </w:r>
      <w:r w:rsidR="00DA31ED">
        <w:t xml:space="preserve">, in December 2021 </w:t>
      </w:r>
      <w:r w:rsidR="008B2C00">
        <w:t xml:space="preserve">Virgin Care </w:t>
      </w:r>
      <w:r w:rsidR="00DA31ED">
        <w:t xml:space="preserve">was rebranded as </w:t>
      </w:r>
      <w:r w:rsidR="008B2C00">
        <w:t xml:space="preserve">the </w:t>
      </w:r>
      <w:r w:rsidR="00DA31ED">
        <w:t>HCRG Care Group and acquired by Twenty20 Capital</w:t>
      </w:r>
      <w:r w:rsidR="00DA31ED">
        <w:rPr>
          <w:rStyle w:val="FootnoteReference"/>
        </w:rPr>
        <w:footnoteReference w:id="8"/>
      </w:r>
      <w:r w:rsidR="00DA31ED">
        <w:t xml:space="preserve">,  a </w:t>
      </w:r>
      <w:r w:rsidR="008B2C00">
        <w:t xml:space="preserve">venture capital investment company </w:t>
      </w:r>
      <w:r w:rsidR="00DA31ED">
        <w:t>which claims that it looks “for significant returns in 2-5 years”</w:t>
      </w:r>
      <w:r w:rsidR="00DA31ED">
        <w:rPr>
          <w:rStyle w:val="FootnoteReference"/>
        </w:rPr>
        <w:footnoteReference w:id="9"/>
      </w:r>
      <w:r w:rsidR="00DA31ED">
        <w:t>.</w:t>
      </w:r>
      <w:r w:rsidR="00843D07">
        <w:t xml:space="preserve"> </w:t>
      </w:r>
      <w:r>
        <w:t>T</w:t>
      </w:r>
      <w:r w:rsidR="008B2C00">
        <w:t>he</w:t>
      </w:r>
      <w:r>
        <w:t xml:space="preserve"> change in supplier and </w:t>
      </w:r>
      <w:r w:rsidR="008B2C00">
        <w:t xml:space="preserve">resulting </w:t>
      </w:r>
      <w:r>
        <w:t>shift in supplier status</w:t>
      </w:r>
      <w:r w:rsidR="000B3C30">
        <w:t xml:space="preserve"> (from corporate to NHS)</w:t>
      </w:r>
      <w:r>
        <w:t xml:space="preserve">, </w:t>
      </w:r>
      <w:r w:rsidR="008B2C00">
        <w:t xml:space="preserve">along with the background churn in ownership structures (albeit subsequent to </w:t>
      </w:r>
      <w:r w:rsidR="00276F96">
        <w:t xml:space="preserve">Virgin </w:t>
      </w:r>
      <w:r w:rsidR="008B2C00">
        <w:t xml:space="preserve">pulling out of the East Staffordshire contract), </w:t>
      </w:r>
      <w:r>
        <w:t xml:space="preserve">illustrates a key problem with the analysis. It is based on 2018-19 data and not only has the commissioning landscape </w:t>
      </w:r>
      <w:r w:rsidR="005234D7">
        <w:t xml:space="preserve">since </w:t>
      </w:r>
      <w:r>
        <w:t xml:space="preserve">transformed </w:t>
      </w:r>
      <w:r w:rsidR="008B2C00">
        <w:t>(</w:t>
      </w:r>
      <w:r w:rsidR="00BC383B">
        <w:t xml:space="preserve">from </w:t>
      </w:r>
      <w:r w:rsidR="008B2C00">
        <w:t>195 CCGs to 42 ICSs</w:t>
      </w:r>
      <w:r w:rsidR="005234D7">
        <w:t xml:space="preserve"> by July 2022</w:t>
      </w:r>
      <w:r w:rsidR="008B2C00">
        <w:t xml:space="preserve">) </w:t>
      </w:r>
      <w:r>
        <w:t>but</w:t>
      </w:r>
      <w:r w:rsidR="008B2C00">
        <w:t>,</w:t>
      </w:r>
      <w:r>
        <w:t xml:space="preserve"> in some localities</w:t>
      </w:r>
      <w:r w:rsidR="008B2C00">
        <w:t>,</w:t>
      </w:r>
      <w:r>
        <w:t xml:space="preserve"> so too has the provider landscape. </w:t>
      </w:r>
    </w:p>
    <w:p w14:paraId="5A9DA16F" w14:textId="77777777" w:rsidR="00B7305A" w:rsidRDefault="00B7305A" w:rsidP="00B661B9">
      <w:pPr>
        <w:pStyle w:val="BodyText"/>
        <w:keepNext/>
      </w:pPr>
      <w:r>
        <w:rPr>
          <w:noProof/>
        </w:rPr>
        <w:drawing>
          <wp:inline distT="0" distB="0" distL="0" distR="0" wp14:anchorId="59989E58" wp14:editId="662D32F0">
            <wp:extent cx="5731510" cy="21482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1D367D78" w14:textId="3B96B9E1" w:rsidR="00B7305A" w:rsidRPr="00701DCA" w:rsidRDefault="00B7305A" w:rsidP="00E31C7A">
      <w:pPr>
        <w:pStyle w:val="FigureCaption"/>
      </w:pPr>
      <w:bookmarkStart w:id="18" w:name="_Ref122037347"/>
      <w:bookmarkStart w:id="19" w:name="_Toc127795233"/>
      <w:r w:rsidRPr="00701DCA">
        <w:t xml:space="preserve">Figure </w:t>
      </w:r>
      <w:fldSimple w:instr=" SEQ Figure \* ARABIC ">
        <w:r w:rsidR="006118DB">
          <w:rPr>
            <w:noProof/>
          </w:rPr>
          <w:t>2</w:t>
        </w:r>
      </w:fldSimple>
      <w:bookmarkEnd w:id="18"/>
      <w:r w:rsidRPr="00701DCA">
        <w:t>: Proportion &gt;£25k spend to LAs and NHS Trusts</w:t>
      </w:r>
      <w:bookmarkEnd w:id="19"/>
    </w:p>
    <w:p w14:paraId="5F43C19C" w14:textId="3FD976C1" w:rsidR="006F1945" w:rsidRPr="005A41C2" w:rsidRDefault="000B3C30" w:rsidP="00D96805">
      <w:pPr>
        <w:pStyle w:val="Heading2"/>
      </w:pPr>
      <w:bookmarkStart w:id="20" w:name="_Toc127795204"/>
      <w:r>
        <w:t xml:space="preserve">Recognising potential variation in </w:t>
      </w:r>
      <w:r w:rsidR="007F21F9" w:rsidRPr="005A41C2">
        <w:t xml:space="preserve">the </w:t>
      </w:r>
      <w:r w:rsidR="006F1945" w:rsidRPr="005A41C2">
        <w:t>comprehensive</w:t>
      </w:r>
      <w:r w:rsidR="007F21F9" w:rsidRPr="005A41C2">
        <w:t xml:space="preserve">ness of the </w:t>
      </w:r>
      <w:r>
        <w:t>CCG</w:t>
      </w:r>
      <w:r w:rsidR="007F21F9" w:rsidRPr="005A41C2">
        <w:t xml:space="preserve"> </w:t>
      </w:r>
      <w:r w:rsidR="006F1945" w:rsidRPr="005A41C2">
        <w:t>accounts</w:t>
      </w:r>
      <w:bookmarkEnd w:id="20"/>
      <w:r w:rsidR="006F1945" w:rsidRPr="005A41C2">
        <w:t xml:space="preserve"> </w:t>
      </w:r>
    </w:p>
    <w:p w14:paraId="5B3BCD5F" w14:textId="4F185173" w:rsidR="00CA6949" w:rsidRDefault="00701DCA" w:rsidP="00CB79E6">
      <w:pPr>
        <w:pStyle w:val="BodyText"/>
      </w:pPr>
      <w:r>
        <w:t>The</w:t>
      </w:r>
      <w:r w:rsidR="00863EE6">
        <w:t xml:space="preserve"> </w:t>
      </w:r>
      <w:r>
        <w:t xml:space="preserve">occasionally </w:t>
      </w:r>
      <w:r w:rsidR="00BC383B">
        <w:t xml:space="preserve">very </w:t>
      </w:r>
      <w:r w:rsidR="00863EE6">
        <w:t xml:space="preserve">high proportion of CCG expenditure accounted for by LAs and NHS Trusts </w:t>
      </w:r>
      <w:r w:rsidR="008227C5">
        <w:t xml:space="preserve">points towards a </w:t>
      </w:r>
      <w:r w:rsidR="00863EE6">
        <w:t xml:space="preserve">further </w:t>
      </w:r>
      <w:r w:rsidR="008227C5">
        <w:t xml:space="preserve">possible </w:t>
      </w:r>
      <w:r w:rsidR="00863EE6">
        <w:t>limitation with the data. Nationally, 8.</w:t>
      </w:r>
      <w:r w:rsidR="00FF5F89">
        <w:t>9</w:t>
      </w:r>
      <w:r w:rsidR="00863EE6">
        <w:t xml:space="preserve">% of CCG </w:t>
      </w:r>
      <w:r w:rsidR="00863EE6">
        <w:lastRenderedPageBreak/>
        <w:t xml:space="preserve">expenditure </w:t>
      </w:r>
      <w:r w:rsidR="00691C25">
        <w:t xml:space="preserve">is directed towards </w:t>
      </w:r>
      <w:r w:rsidR="00863EE6">
        <w:t xml:space="preserve">organisations identified as suppliers of </w:t>
      </w:r>
      <w:r w:rsidR="00F627D6">
        <w:t xml:space="preserve">primary care </w:t>
      </w:r>
      <w:r w:rsidR="00863EE6">
        <w:t>services, largely GPs.  Yet</w:t>
      </w:r>
      <w:r w:rsidR="00364B8A">
        <w:t>, as illustrated in</w:t>
      </w:r>
      <w:r w:rsidR="00842C06">
        <w:t xml:space="preserve"> </w:t>
      </w:r>
      <w:r w:rsidR="00842C06">
        <w:fldChar w:fldCharType="begin"/>
      </w:r>
      <w:r w:rsidR="00842C06">
        <w:instrText xml:space="preserve"> REF _Ref126502781 \h </w:instrText>
      </w:r>
      <w:r w:rsidR="00842C06">
        <w:fldChar w:fldCharType="separate"/>
      </w:r>
      <w:r w:rsidR="00842C06">
        <w:t xml:space="preserve">Figure </w:t>
      </w:r>
      <w:r w:rsidR="00842C06">
        <w:rPr>
          <w:noProof/>
        </w:rPr>
        <w:t>3</w:t>
      </w:r>
      <w:r w:rsidR="00842C06">
        <w:fldChar w:fldCharType="end"/>
      </w:r>
      <w:r w:rsidR="00842C06">
        <w:t xml:space="preserve"> b</w:t>
      </w:r>
      <w:r w:rsidR="00364B8A">
        <w:t>elow,</w:t>
      </w:r>
      <w:r w:rsidR="00863EE6">
        <w:t xml:space="preserve"> </w:t>
      </w:r>
      <w:r w:rsidR="00CA6949">
        <w:t xml:space="preserve">this varies from less than 0.1% </w:t>
      </w:r>
      <w:r w:rsidR="00691C25">
        <w:t>(</w:t>
      </w:r>
      <w:r w:rsidR="00991538">
        <w:t xml:space="preserve">for </w:t>
      </w:r>
      <w:r w:rsidR="00CA6949">
        <w:t>Greater Huddersfield and Crawley</w:t>
      </w:r>
      <w:r w:rsidR="00691C25">
        <w:t>)</w:t>
      </w:r>
      <w:r w:rsidR="00CA6949">
        <w:t xml:space="preserve"> to over 20% </w:t>
      </w:r>
      <w:r w:rsidR="00691C25">
        <w:t>(</w:t>
      </w:r>
      <w:r w:rsidR="00991538">
        <w:t xml:space="preserve">for </w:t>
      </w:r>
      <w:r w:rsidR="00CA6949">
        <w:t xml:space="preserve">West Norfolk, </w:t>
      </w:r>
      <w:r w:rsidR="00F627D6">
        <w:t xml:space="preserve">the </w:t>
      </w:r>
      <w:r w:rsidR="00CA6949">
        <w:t>East Riding of Yorkshire and Hull</w:t>
      </w:r>
      <w:r w:rsidR="00691C25">
        <w:t>)</w:t>
      </w:r>
      <w:r w:rsidR="00CA6949">
        <w:t>.</w:t>
      </w:r>
      <w:r>
        <w:t xml:space="preserve"> This partly reflects difficulties identifying </w:t>
      </w:r>
      <w:r w:rsidR="00F627D6">
        <w:t>GPs</w:t>
      </w:r>
      <w:r w:rsidR="003B347A">
        <w:t xml:space="preserve"> </w:t>
      </w:r>
      <w:r w:rsidR="00F9365B">
        <w:t>in the accounts</w:t>
      </w:r>
      <w:r w:rsidR="0034600F">
        <w:t xml:space="preserve"> (</w:t>
      </w:r>
      <w:r w:rsidR="005A41C2">
        <w:t xml:space="preserve">although </w:t>
      </w:r>
      <w:r w:rsidR="00836C26">
        <w:t>6,2</w:t>
      </w:r>
      <w:r w:rsidR="00A02899">
        <w:t>88</w:t>
      </w:r>
      <w:r w:rsidR="005A41C2">
        <w:t xml:space="preserve"> </w:t>
      </w:r>
      <w:r w:rsidR="00F627D6">
        <w:t xml:space="preserve">primary care </w:t>
      </w:r>
      <w:r w:rsidR="005A41C2">
        <w:t xml:space="preserve">organisations </w:t>
      </w:r>
      <w:r w:rsidR="00F627D6">
        <w:t>have been identified</w:t>
      </w:r>
      <w:r w:rsidR="0034600F">
        <w:t xml:space="preserve">) and the fact that some </w:t>
      </w:r>
      <w:r w:rsidR="003A0B7A">
        <w:t xml:space="preserve">primary </w:t>
      </w:r>
      <w:r w:rsidR="00F627D6">
        <w:t>care</w:t>
      </w:r>
      <w:r w:rsidR="003A0B7A">
        <w:t xml:space="preserve"> activ</w:t>
      </w:r>
      <w:r w:rsidR="00F627D6">
        <w:t>ity will be missed</w:t>
      </w:r>
      <w:r w:rsidR="005A41C2">
        <w:t xml:space="preserve"> </w:t>
      </w:r>
      <w:r w:rsidR="00F627D6">
        <w:t xml:space="preserve">because </w:t>
      </w:r>
      <w:r w:rsidR="00CD59D1">
        <w:t xml:space="preserve">it </w:t>
      </w:r>
      <w:r w:rsidR="00BC383B">
        <w:t>was</w:t>
      </w:r>
      <w:r w:rsidR="0034600F">
        <w:t xml:space="preserve"> being undertaken by </w:t>
      </w:r>
      <w:r w:rsidR="00691C25">
        <w:t xml:space="preserve">organisations </w:t>
      </w:r>
      <w:r w:rsidR="0034600F">
        <w:t xml:space="preserve">with </w:t>
      </w:r>
      <w:r w:rsidR="00691C25">
        <w:t xml:space="preserve">a much </w:t>
      </w:r>
      <w:r w:rsidR="005A41C2">
        <w:t>wider remit</w:t>
      </w:r>
      <w:r w:rsidR="003B347A">
        <w:t xml:space="preserve">. But </w:t>
      </w:r>
      <w:r w:rsidR="008B2C00">
        <w:t xml:space="preserve">the variation </w:t>
      </w:r>
      <w:r w:rsidR="003B347A">
        <w:t xml:space="preserve">also </w:t>
      </w:r>
      <w:r w:rsidR="00691C25">
        <w:t>seem</w:t>
      </w:r>
      <w:r w:rsidR="00B84BEE">
        <w:t>s</w:t>
      </w:r>
      <w:r w:rsidR="003B347A">
        <w:t xml:space="preserve"> to reflect </w:t>
      </w:r>
      <w:r w:rsidR="008B2C00">
        <w:t xml:space="preserve">differences </w:t>
      </w:r>
      <w:r w:rsidR="003B347A">
        <w:t xml:space="preserve">in the </w:t>
      </w:r>
      <w:r w:rsidR="006F1945">
        <w:t xml:space="preserve">comprehensiveness of </w:t>
      </w:r>
      <w:r w:rsidR="00F627D6">
        <w:t xml:space="preserve">the </w:t>
      </w:r>
      <w:r w:rsidR="006F1945">
        <w:t xml:space="preserve">CCG accounts. </w:t>
      </w:r>
    </w:p>
    <w:p w14:paraId="438E8CEB" w14:textId="77777777" w:rsidR="00AB3FAD" w:rsidRDefault="00AB3FAD" w:rsidP="00AB3FAD">
      <w:pPr>
        <w:pStyle w:val="BodyText"/>
        <w:keepNext/>
      </w:pPr>
      <w:r>
        <w:rPr>
          <w:noProof/>
        </w:rPr>
        <w:drawing>
          <wp:inline distT="0" distB="0" distL="0" distR="0" wp14:anchorId="468E588E" wp14:editId="2E43ED38">
            <wp:extent cx="5731510" cy="2148205"/>
            <wp:effectExtent l="0" t="0" r="254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01966EB6" w14:textId="08D80BF1" w:rsidR="00AB3FAD" w:rsidRDefault="00AB3FAD" w:rsidP="00E31C7A">
      <w:pPr>
        <w:pStyle w:val="FigureCaption"/>
      </w:pPr>
      <w:bookmarkStart w:id="21" w:name="_Ref126502781"/>
      <w:bookmarkStart w:id="22" w:name="_Toc127795234"/>
      <w:r>
        <w:t xml:space="preserve">Figure </w:t>
      </w:r>
      <w:fldSimple w:instr=" SEQ Figure \* ARABIC ">
        <w:r w:rsidR="006118DB">
          <w:rPr>
            <w:noProof/>
          </w:rPr>
          <w:t>3</w:t>
        </w:r>
      </w:fldSimple>
      <w:bookmarkEnd w:id="21"/>
      <w:r>
        <w:t xml:space="preserve">: </w:t>
      </w:r>
      <w:r w:rsidRPr="001C30A4">
        <w:t>Proportion &gt;£25k spend on GP Services</w:t>
      </w:r>
      <w:bookmarkEnd w:id="22"/>
    </w:p>
    <w:p w14:paraId="665D945E" w14:textId="0E1BA84F" w:rsidR="00BC383B" w:rsidRDefault="00BC383B" w:rsidP="00BC383B">
      <w:pPr>
        <w:pStyle w:val="BodyText"/>
      </w:pPr>
      <w:r>
        <w:t>A list of all GPs receiving payments from the NHS in 2018-19</w:t>
      </w:r>
      <w:r>
        <w:rPr>
          <w:rStyle w:val="FootnoteReference"/>
        </w:rPr>
        <w:footnoteReference w:id="10"/>
      </w:r>
      <w:r>
        <w:t xml:space="preserve"> reveals that the proportion of GPs included in the </w:t>
      </w:r>
      <w:r w:rsidR="000B3C30">
        <w:t>“over-threshold”</w:t>
      </w:r>
      <w:r>
        <w:t xml:space="preserve"> accounts varies hugely. In Greater Huddersfield, payments to only 2 of 38 known GPs are recorded. They received just 2.47% of the total NHS payment to Huddersfield GPs. Similarly, the Crawly CCG accounts include only 1 of 12 known GPs (receiving 9.2% of total payments). </w:t>
      </w:r>
    </w:p>
    <w:p w14:paraId="2F11C705" w14:textId="6CF0E8C3" w:rsidR="00BC383B" w:rsidRDefault="00BC383B" w:rsidP="00BC383B">
      <w:pPr>
        <w:pStyle w:val="BodyText"/>
      </w:pPr>
      <w:r>
        <w:t xml:space="preserve">In contrast, in West Norfolk 17 of 21 known GPs (receiving 70.5% of total GP payments) are to be found in the </w:t>
      </w:r>
      <w:r w:rsidR="000B3C30">
        <w:t>“over-threshold”</w:t>
      </w:r>
      <w:r>
        <w:t xml:space="preserve"> accounts; in the East Riding of Yorkshire the figure is 23 of 33 GPs (79.9% of payments); and in Hull it is 33 of 41 GPs (85.6% of total GP payments).</w:t>
      </w:r>
    </w:p>
    <w:p w14:paraId="371ACDE4" w14:textId="35E28771" w:rsidR="00157A0F" w:rsidRDefault="000A2282" w:rsidP="00157A0F">
      <w:pPr>
        <w:pStyle w:val="BodyText"/>
      </w:pPr>
      <w:r>
        <w:t xml:space="preserve">Such disparities </w:t>
      </w:r>
      <w:r w:rsidR="0034600F">
        <w:t xml:space="preserve">may stem </w:t>
      </w:r>
      <w:r>
        <w:t xml:space="preserve">from local differences in </w:t>
      </w:r>
      <w:r w:rsidR="0034600F">
        <w:t xml:space="preserve">how, since 2015, NHS England has been delegating full </w:t>
      </w:r>
      <w:r w:rsidR="005A57E0">
        <w:t xml:space="preserve">or partial responsibility for </w:t>
      </w:r>
      <w:r w:rsidR="006543EB">
        <w:t>commissioning primary care services</w:t>
      </w:r>
      <w:r w:rsidR="005A57E0">
        <w:t xml:space="preserve"> to CCGs.</w:t>
      </w:r>
      <w:r w:rsidR="006543EB">
        <w:t xml:space="preserve"> If so, accounting for expenditure on primary care may be uniquely problematic, but </w:t>
      </w:r>
      <w:r w:rsidR="00157A0F">
        <w:t xml:space="preserve">it must be accepted that, in a large-scale national overview of spending patterns, </w:t>
      </w:r>
      <w:r w:rsidR="004C72EF">
        <w:t xml:space="preserve">unknown </w:t>
      </w:r>
      <w:r w:rsidR="00157A0F">
        <w:t xml:space="preserve">CCG-level differences </w:t>
      </w:r>
      <w:r w:rsidR="00B33A2D">
        <w:t xml:space="preserve">may </w:t>
      </w:r>
      <w:r w:rsidR="00157A0F">
        <w:t xml:space="preserve">exist </w:t>
      </w:r>
      <w:r w:rsidR="00B33A2D">
        <w:t xml:space="preserve">regarding </w:t>
      </w:r>
      <w:r w:rsidR="00157A0F">
        <w:t xml:space="preserve">what is considered within the remit of the </w:t>
      </w:r>
      <w:r w:rsidR="000B3C30">
        <w:t>“over-threshold”</w:t>
      </w:r>
      <w:r w:rsidR="00157A0F">
        <w:t xml:space="preserve"> accounts</w:t>
      </w:r>
      <w:r w:rsidR="00691C25">
        <w:t>.</w:t>
      </w:r>
      <w:r w:rsidR="00B33A2D">
        <w:t xml:space="preserve"> </w:t>
      </w:r>
    </w:p>
    <w:p w14:paraId="6168FA04" w14:textId="19F9F427" w:rsidR="00364B8A" w:rsidRPr="00F221AA" w:rsidRDefault="00364B8A" w:rsidP="003E6FBC">
      <w:pPr>
        <w:pStyle w:val="Heading1"/>
      </w:pPr>
      <w:bookmarkStart w:id="23" w:name="_Toc127795205"/>
      <w:r w:rsidRPr="00F221AA">
        <w:lastRenderedPageBreak/>
        <w:t xml:space="preserve">Identifying Suppliers: </w:t>
      </w:r>
      <w:r w:rsidR="00C0500F" w:rsidRPr="00F221AA">
        <w:t>The Workflow</w:t>
      </w:r>
      <w:bookmarkEnd w:id="23"/>
    </w:p>
    <w:p w14:paraId="60084EBE" w14:textId="7195B3D3" w:rsidR="00C43B01" w:rsidRDefault="007D5193" w:rsidP="00CB79E6">
      <w:pPr>
        <w:pStyle w:val="BodyText"/>
      </w:pPr>
      <w:r>
        <w:t>As noted above, determining the VCSE status of individual suppliers depends entirely on link</w:t>
      </w:r>
      <w:r w:rsidR="00623177">
        <w:t>ing</w:t>
      </w:r>
      <w:r>
        <w:t xml:space="preserve"> names </w:t>
      </w:r>
      <w:r w:rsidR="005A57E0">
        <w:t xml:space="preserve">in the accounts </w:t>
      </w:r>
      <w:r>
        <w:t xml:space="preserve">to various </w:t>
      </w:r>
      <w:r w:rsidR="005A57E0">
        <w:t xml:space="preserve">public </w:t>
      </w:r>
      <w:r>
        <w:t>registers and</w:t>
      </w:r>
      <w:r w:rsidR="005A57E0">
        <w:t xml:space="preserve">/or their public-facing websites.  </w:t>
      </w:r>
      <w:r>
        <w:t xml:space="preserve">The </w:t>
      </w:r>
      <w:r w:rsidR="005A57E0">
        <w:t xml:space="preserve">workflow </w:t>
      </w:r>
      <w:r w:rsidR="00C43B01">
        <w:t>was iterative, but was broadly as follows:</w:t>
      </w:r>
    </w:p>
    <w:p w14:paraId="1643DF60" w14:textId="12328430" w:rsidR="00112749" w:rsidRDefault="00112749" w:rsidP="00112749">
      <w:pPr>
        <w:pStyle w:val="WorkFlowList"/>
      </w:pPr>
      <w:r>
        <w:t>From all valid invoices &gt;£25k (n=</w:t>
      </w:r>
      <w:r w:rsidR="000A2282" w:rsidRPr="000A2282">
        <w:t xml:space="preserve"> 225</w:t>
      </w:r>
      <w:r w:rsidR="000A2282">
        <w:t>,</w:t>
      </w:r>
      <w:r w:rsidR="0012796C">
        <w:t>88</w:t>
      </w:r>
      <w:r w:rsidR="00460031">
        <w:t>9</w:t>
      </w:r>
      <w:r>
        <w:t xml:space="preserve"> / £70.</w:t>
      </w:r>
      <w:r w:rsidR="00FF5F89">
        <w:t>4</w:t>
      </w:r>
      <w:r w:rsidR="0012796C">
        <w:t>96</w:t>
      </w:r>
      <w:r>
        <w:t xml:space="preserve">bn.), </w:t>
      </w:r>
      <w:r w:rsidR="00B313E3">
        <w:t xml:space="preserve">use fuzzy matching algorithms (R Statistics </w:t>
      </w:r>
      <w:proofErr w:type="spellStart"/>
      <w:r w:rsidR="00B313E3" w:rsidRPr="0012216A">
        <w:rPr>
          <w:i/>
          <w:iCs/>
        </w:rPr>
        <w:t>fuzzyjoin</w:t>
      </w:r>
      <w:proofErr w:type="spellEnd"/>
      <w:r w:rsidR="00B313E3">
        <w:t xml:space="preserve"> package</w:t>
      </w:r>
      <w:r w:rsidR="00B313E3">
        <w:rPr>
          <w:rStyle w:val="FootnoteReference"/>
        </w:rPr>
        <w:footnoteReference w:id="11"/>
      </w:r>
      <w:r w:rsidR="00B313E3">
        <w:t xml:space="preserve">) and manual name comparisons to </w:t>
      </w:r>
      <w:r w:rsidR="002F3F4E">
        <w:t>determine</w:t>
      </w:r>
      <w:r w:rsidR="005646AA">
        <w:t>, so far as possible,</w:t>
      </w:r>
      <w:r w:rsidR="002F3F4E">
        <w:t xml:space="preserve"> </w:t>
      </w:r>
      <w:r w:rsidR="0006500E">
        <w:t xml:space="preserve">the </w:t>
      </w:r>
      <w:r w:rsidR="00EF0EAC">
        <w:t xml:space="preserve">actual </w:t>
      </w:r>
      <w:r w:rsidR="002F3F4E">
        <w:t>unique suppliers (n=10,</w:t>
      </w:r>
      <w:r w:rsidR="0012796C">
        <w:t>562</w:t>
      </w:r>
      <w:r w:rsidR="002F3F4E">
        <w:t xml:space="preserve">) behind the </w:t>
      </w:r>
      <w:r w:rsidR="002F3F4E" w:rsidRPr="0006500E">
        <w:rPr>
          <w:i/>
          <w:iCs/>
        </w:rPr>
        <w:t>named</w:t>
      </w:r>
      <w:r w:rsidR="002F3F4E">
        <w:t xml:space="preserve"> suppliers </w:t>
      </w:r>
      <w:r>
        <w:t>(n=10,</w:t>
      </w:r>
      <w:r w:rsidR="0012796C">
        <w:t>929</w:t>
      </w:r>
      <w:r>
        <w:t>)</w:t>
      </w:r>
    </w:p>
    <w:p w14:paraId="44DD183A" w14:textId="2C5A52FB" w:rsidR="00112749" w:rsidRDefault="00112749" w:rsidP="00112749">
      <w:pPr>
        <w:pStyle w:val="WorkFlowList"/>
      </w:pPr>
      <w:r>
        <w:t xml:space="preserve">Manually identify all NHS Trusts, Health Boards, CCGs and Commissioning Support Units (plus misc. NHS organisations such as NHS Property Services, NHS Pensions Agency, etc.): </w:t>
      </w:r>
      <w:r w:rsidR="00B84BEE">
        <w:t>538</w:t>
      </w:r>
      <w:r>
        <w:t xml:space="preserve"> unique suppliers (</w:t>
      </w:r>
      <w:r w:rsidR="00B84BEE">
        <w:t>5.1</w:t>
      </w:r>
      <w:r>
        <w:t>%</w:t>
      </w:r>
      <w:r w:rsidR="0006500E">
        <w:t xml:space="preserve"> of all suppliers</w:t>
      </w:r>
      <w:r>
        <w:t>), 71,</w:t>
      </w:r>
      <w:r w:rsidR="00460031">
        <w:t>4</w:t>
      </w:r>
      <w:r w:rsidR="0012796C">
        <w:t>24</w:t>
      </w:r>
      <w:r>
        <w:t xml:space="preserve"> invoices (31.</w:t>
      </w:r>
      <w:r w:rsidR="00276F96">
        <w:t>6</w:t>
      </w:r>
      <w:r>
        <w:t>%</w:t>
      </w:r>
      <w:r w:rsidR="0006500E">
        <w:t xml:space="preserve"> of all invoices</w:t>
      </w:r>
      <w:r>
        <w:t>) and £54.</w:t>
      </w:r>
      <w:r w:rsidR="00276F96">
        <w:t>2</w:t>
      </w:r>
      <w:r w:rsidR="00460031">
        <w:t>6</w:t>
      </w:r>
      <w:r w:rsidR="0012796C">
        <w:t>3</w:t>
      </w:r>
      <w:r>
        <w:t>bn. (7</w:t>
      </w:r>
      <w:r w:rsidR="00276F96">
        <w:t>7</w:t>
      </w:r>
      <w:r w:rsidR="000A2282">
        <w:t>.</w:t>
      </w:r>
      <w:r w:rsidR="00276F96">
        <w:t>0</w:t>
      </w:r>
      <w:r>
        <w:t>%</w:t>
      </w:r>
      <w:r w:rsidR="0006500E">
        <w:t xml:space="preserve"> of all expenditure</w:t>
      </w:r>
      <w:r>
        <w:t xml:space="preserve">). </w:t>
      </w:r>
      <w:r w:rsidR="004C72EF">
        <w:t>This e</w:t>
      </w:r>
      <w:r>
        <w:t xml:space="preserve">xcludes non-NHS organisations ‘branded’ as NHS organisations (e.g. </w:t>
      </w:r>
      <w:r w:rsidR="00276F96">
        <w:t>various</w:t>
      </w:r>
      <w:r w:rsidR="004C72EF">
        <w:t xml:space="preserve"> ‘NHS Treatment Centres’</w:t>
      </w:r>
      <w:r>
        <w:t>)</w:t>
      </w:r>
      <w:r w:rsidRPr="00112749">
        <w:t>.</w:t>
      </w:r>
    </w:p>
    <w:p w14:paraId="70F7454E" w14:textId="0EF9642B" w:rsidR="00112749" w:rsidRDefault="00112749" w:rsidP="00112749">
      <w:pPr>
        <w:pStyle w:val="WorkFlowList"/>
      </w:pPr>
      <w:r>
        <w:t>Manually identify all local councils (county, metropolitan, borough, etc): 2</w:t>
      </w:r>
      <w:r w:rsidR="00B84BEE">
        <w:t>12</w:t>
      </w:r>
      <w:r>
        <w:t xml:space="preserve"> unique suppliers (</w:t>
      </w:r>
      <w:r w:rsidR="00B84BEE">
        <w:t>2.0</w:t>
      </w:r>
      <w:r>
        <w:t>%), 11,5</w:t>
      </w:r>
      <w:r w:rsidR="0012796C">
        <w:t>40</w:t>
      </w:r>
      <w:r>
        <w:t xml:space="preserve"> invoices (5.1%) and £4.45</w:t>
      </w:r>
      <w:r w:rsidR="0012796C">
        <w:t>8</w:t>
      </w:r>
      <w:r>
        <w:t>bn. (6.3%).</w:t>
      </w:r>
    </w:p>
    <w:p w14:paraId="592AB22D" w14:textId="0DBDD34C" w:rsidR="00112749" w:rsidRDefault="00112749" w:rsidP="00112749">
      <w:pPr>
        <w:pStyle w:val="WorkFlowList"/>
      </w:pPr>
      <w:r>
        <w:t>Search the CQC active and inactive provider registers</w:t>
      </w:r>
      <w:r>
        <w:rPr>
          <w:rStyle w:val="FootnoteReference"/>
        </w:rPr>
        <w:footnoteReference w:id="12"/>
      </w:r>
      <w:r>
        <w:t xml:space="preserve"> for supplier names, using fuzzy matching algorithms followed by manual checking</w:t>
      </w:r>
      <w:r w:rsidR="00EF0EAC">
        <w:t xml:space="preserve"> of apparent matches</w:t>
      </w:r>
      <w:r w:rsidR="005646AA">
        <w:t xml:space="preserve"> </w:t>
      </w:r>
      <w:r w:rsidR="00525D3A">
        <w:t xml:space="preserve">(to address the </w:t>
      </w:r>
      <w:r w:rsidR="005646AA">
        <w:t>large number of false positives</w:t>
      </w:r>
      <w:r w:rsidR="00525D3A">
        <w:t>)</w:t>
      </w:r>
      <w:r>
        <w:t xml:space="preserve">. </w:t>
      </w:r>
      <w:r w:rsidR="00EF0EAC">
        <w:t xml:space="preserve">The </w:t>
      </w:r>
      <w:r w:rsidR="00D95C51">
        <w:t xml:space="preserve">CQC </w:t>
      </w:r>
      <w:r w:rsidR="00EF0EAC">
        <w:t xml:space="preserve">registers </w:t>
      </w:r>
      <w:r w:rsidR="00D95C51">
        <w:t xml:space="preserve">provide information on </w:t>
      </w:r>
      <w:r w:rsidR="005646AA">
        <w:t>each</w:t>
      </w:r>
      <w:r w:rsidR="00D95C51">
        <w:t xml:space="preserve"> supplier’s </w:t>
      </w:r>
      <w:r w:rsidR="00EF0EAC">
        <w:t xml:space="preserve">‘Sector’ (e.g. ‘Primary Medical Services’ or ‘Social Care Organisation’), whether a care home and, where appropriate, </w:t>
      </w:r>
      <w:r w:rsidR="005646AA">
        <w:t xml:space="preserve">its </w:t>
      </w:r>
      <w:r>
        <w:t>Charity Commission (CC) and Company House (CH) registration number.</w:t>
      </w:r>
    </w:p>
    <w:p w14:paraId="380C456F" w14:textId="552D72CE" w:rsidR="00B313E3" w:rsidRDefault="000A3C40" w:rsidP="00112749">
      <w:pPr>
        <w:pStyle w:val="WorkFlowList"/>
      </w:pPr>
      <w:r>
        <w:t>Use fuzzy matching and manual checking (as above) to s</w:t>
      </w:r>
      <w:r w:rsidR="00B313E3">
        <w:t xml:space="preserve">earch the list of practices in </w:t>
      </w:r>
      <w:r w:rsidR="00B313E3" w:rsidRPr="00B313E3">
        <w:rPr>
          <w:i/>
          <w:iCs/>
        </w:rPr>
        <w:t>NHS Payments to General Practice, England, 2018/19</w:t>
      </w:r>
      <w:r w:rsidR="00B313E3">
        <w:t xml:space="preserve"> to </w:t>
      </w:r>
      <w:r w:rsidR="005646AA">
        <w:t xml:space="preserve">determine whether </w:t>
      </w:r>
      <w:r>
        <w:t xml:space="preserve">non-NHS/LA </w:t>
      </w:r>
      <w:r w:rsidR="00B313E3">
        <w:t xml:space="preserve">suppliers </w:t>
      </w:r>
      <w:r w:rsidR="005646AA">
        <w:t>are</w:t>
      </w:r>
      <w:r w:rsidR="00B313E3">
        <w:t xml:space="preserve"> GPs, adding to those identified at Step 4 and those with keywords ‘D</w:t>
      </w:r>
      <w:r w:rsidR="009D3FCE">
        <w:t>r</w:t>
      </w:r>
      <w:r w:rsidR="00B313E3">
        <w:t xml:space="preserve">’, </w:t>
      </w:r>
      <w:r w:rsidR="009D3FCE">
        <w:t xml:space="preserve">‘Drs’, ‘Medical Centre’, ‘Medical Practice’, ‘Surgery’ and similar. </w:t>
      </w:r>
      <w:r>
        <w:t>P</w:t>
      </w:r>
      <w:r w:rsidR="009D3FCE">
        <w:t xml:space="preserve">utative practices are confirmed by searching for a corresponding website. </w:t>
      </w:r>
      <w:r>
        <w:t xml:space="preserve">Ownership status </w:t>
      </w:r>
      <w:r w:rsidR="004C72EF">
        <w:t xml:space="preserve">(including CH registration number) </w:t>
      </w:r>
      <w:r>
        <w:t xml:space="preserve">is noted if </w:t>
      </w:r>
      <w:r w:rsidR="00FF5F89">
        <w:t xml:space="preserve">clearly </w:t>
      </w:r>
      <w:r>
        <w:t>stated on the website, though this is rare.</w:t>
      </w:r>
      <w:r w:rsidR="009D3FCE">
        <w:t xml:space="preserve"> </w:t>
      </w:r>
    </w:p>
    <w:p w14:paraId="56025777" w14:textId="2215D318" w:rsidR="00112749" w:rsidRDefault="00EF0EAC" w:rsidP="00112749">
      <w:pPr>
        <w:pStyle w:val="WorkFlowList"/>
      </w:pPr>
      <w:r>
        <w:t xml:space="preserve">Use fuzzy matching and manual checking (as above) to search CC and CH Registers for </w:t>
      </w:r>
      <w:r w:rsidR="00D95C51">
        <w:t xml:space="preserve">(a) </w:t>
      </w:r>
      <w:r w:rsidR="009D3FCE">
        <w:t xml:space="preserve">all non-NHS/LA </w:t>
      </w:r>
      <w:r>
        <w:t xml:space="preserve">supplier names </w:t>
      </w:r>
      <w:r w:rsidR="00D95C51">
        <w:t xml:space="preserve">found </w:t>
      </w:r>
      <w:r>
        <w:t xml:space="preserve">in the </w:t>
      </w:r>
      <w:r w:rsidR="000B3C30">
        <w:t>“over-threshold”</w:t>
      </w:r>
      <w:r>
        <w:t xml:space="preserve"> accounts and </w:t>
      </w:r>
      <w:r w:rsidR="00D95C51">
        <w:t xml:space="preserve">(b) </w:t>
      </w:r>
      <w:r w:rsidR="00112749">
        <w:t>CC</w:t>
      </w:r>
      <w:r>
        <w:t>/</w:t>
      </w:r>
      <w:r w:rsidR="00A17C59">
        <w:t xml:space="preserve">CH registration </w:t>
      </w:r>
      <w:r w:rsidR="00112749">
        <w:t xml:space="preserve">numbers </w:t>
      </w:r>
      <w:r w:rsidR="00D95C51">
        <w:t>found</w:t>
      </w:r>
      <w:r w:rsidR="00112749">
        <w:t xml:space="preserve"> at Step</w:t>
      </w:r>
      <w:r w:rsidR="004C72EF">
        <w:t>s</w:t>
      </w:r>
      <w:r w:rsidR="00112749">
        <w:t xml:space="preserve"> 4</w:t>
      </w:r>
      <w:r w:rsidR="004C72EF">
        <w:t xml:space="preserve"> and 5</w:t>
      </w:r>
      <w:r>
        <w:t>.</w:t>
      </w:r>
    </w:p>
    <w:p w14:paraId="1C1C45E2" w14:textId="234FF1AA" w:rsidR="00112749" w:rsidRDefault="00112749" w:rsidP="00112749">
      <w:pPr>
        <w:pStyle w:val="WorkFlowList"/>
      </w:pPr>
      <w:r>
        <w:t xml:space="preserve">For </w:t>
      </w:r>
      <w:r w:rsidR="00D95C51">
        <w:t xml:space="preserve">those </w:t>
      </w:r>
      <w:r>
        <w:t>suppliers</w:t>
      </w:r>
      <w:r w:rsidR="00D95C51">
        <w:t xml:space="preserve"> not yet </w:t>
      </w:r>
      <w:r w:rsidR="00D95C51" w:rsidRPr="000A3C40">
        <w:t>identified</w:t>
      </w:r>
      <w:r w:rsidR="00B313E3" w:rsidRPr="000A3C40">
        <w:t xml:space="preserve"> as NHS</w:t>
      </w:r>
      <w:r w:rsidR="00670713">
        <w:t xml:space="preserve"> or </w:t>
      </w:r>
      <w:r w:rsidR="00B313E3" w:rsidRPr="000A3C40">
        <w:t>LA</w:t>
      </w:r>
      <w:r w:rsidR="004C72EF">
        <w:t xml:space="preserve"> </w:t>
      </w:r>
      <w:r w:rsidR="00670713">
        <w:t xml:space="preserve">organisations, </w:t>
      </w:r>
      <w:r w:rsidR="00B313E3" w:rsidRPr="000A3C40">
        <w:t xml:space="preserve">or </w:t>
      </w:r>
      <w:r w:rsidR="004C72EF">
        <w:t>already found i</w:t>
      </w:r>
      <w:r w:rsidR="00B313E3" w:rsidRPr="000A3C40">
        <w:t>n the CC/CH registers</w:t>
      </w:r>
      <w:r>
        <w:t xml:space="preserve">, manually search </w:t>
      </w:r>
      <w:r w:rsidR="00670713">
        <w:t xml:space="preserve">the internet </w:t>
      </w:r>
      <w:r>
        <w:t>for supplier</w:t>
      </w:r>
      <w:r w:rsidR="004C72EF">
        <w:t xml:space="preserve"> </w:t>
      </w:r>
      <w:r w:rsidR="002F4B1D">
        <w:t>websites</w:t>
      </w:r>
      <w:r w:rsidR="004C72EF">
        <w:t>. The flexible use of supplier names in the accounts make</w:t>
      </w:r>
      <w:r w:rsidR="00670713">
        <w:t>s</w:t>
      </w:r>
      <w:r w:rsidR="004C72EF">
        <w:t xml:space="preserve"> this </w:t>
      </w:r>
      <w:r w:rsidR="00670713">
        <w:t xml:space="preserve">somewhat hit-or-miss </w:t>
      </w:r>
      <w:r w:rsidR="004C72EF">
        <w:t xml:space="preserve">but, if found, </w:t>
      </w:r>
      <w:r w:rsidR="002F4B1D">
        <w:t xml:space="preserve">the </w:t>
      </w:r>
      <w:r w:rsidR="00B122B9">
        <w:t>supplier</w:t>
      </w:r>
      <w:r w:rsidR="002F4B1D">
        <w:t>’</w:t>
      </w:r>
      <w:r w:rsidR="00B122B9">
        <w:t xml:space="preserve">s </w:t>
      </w:r>
      <w:r w:rsidR="004C72EF">
        <w:t>website</w:t>
      </w:r>
      <w:r w:rsidR="002F4B1D">
        <w:t xml:space="preserve"> is</w:t>
      </w:r>
      <w:r w:rsidR="00670713">
        <w:t xml:space="preserve"> searched for </w:t>
      </w:r>
      <w:r w:rsidR="004C72EF">
        <w:t xml:space="preserve">CC/CH registration numbers </w:t>
      </w:r>
      <w:r w:rsidR="00B122B9">
        <w:t xml:space="preserve">(a legal obligation, albeit clearly not </w:t>
      </w:r>
      <w:r w:rsidR="00B122B9">
        <w:lastRenderedPageBreak/>
        <w:t xml:space="preserve">always observed) </w:t>
      </w:r>
      <w:r w:rsidR="00670713">
        <w:t xml:space="preserve">– </w:t>
      </w:r>
      <w:r w:rsidR="001B06E0">
        <w:t xml:space="preserve">in which case </w:t>
      </w:r>
      <w:r w:rsidR="00670713">
        <w:t xml:space="preserve">details are extracted from </w:t>
      </w:r>
      <w:r>
        <w:t>CC/CH register</w:t>
      </w:r>
      <w:r w:rsidR="00670713">
        <w:t>s</w:t>
      </w:r>
      <w:r>
        <w:t xml:space="preserve"> as above</w:t>
      </w:r>
      <w:r w:rsidR="001B06E0">
        <w:t xml:space="preserve"> – and for explicit statements that they are ‘not-for-profit’, ‘social enterprise’ or ‘volunteer-led’ organisations.</w:t>
      </w:r>
      <w:r w:rsidR="00AA691A">
        <w:t xml:space="preserve"> Evidence from websites is </w:t>
      </w:r>
      <w:r w:rsidR="00670713">
        <w:t xml:space="preserve">also </w:t>
      </w:r>
      <w:r w:rsidR="00AA691A">
        <w:t xml:space="preserve">used to place suppliers into a number of general </w:t>
      </w:r>
      <w:r w:rsidR="002F4B1D">
        <w:t xml:space="preserve">‘supplier sector’ </w:t>
      </w:r>
      <w:r w:rsidR="00AA691A">
        <w:t>categories</w:t>
      </w:r>
      <w:r w:rsidR="002F4B1D">
        <w:t xml:space="preserve"> (</w:t>
      </w:r>
      <w:r w:rsidR="002F4B1D">
        <w:fldChar w:fldCharType="begin"/>
      </w:r>
      <w:r w:rsidR="002F4B1D">
        <w:instrText xml:space="preserve"> REF _Ref123169466 \h </w:instrText>
      </w:r>
      <w:r w:rsidR="002F4B1D">
        <w:fldChar w:fldCharType="separate"/>
      </w:r>
      <w:r w:rsidR="002F4B1D" w:rsidRPr="00DD4BD1">
        <w:t xml:space="preserve">Table </w:t>
      </w:r>
      <w:r w:rsidR="002F4B1D">
        <w:rPr>
          <w:noProof/>
        </w:rPr>
        <w:t>3</w:t>
      </w:r>
      <w:r w:rsidR="002F4B1D">
        <w:fldChar w:fldCharType="end"/>
      </w:r>
      <w:r w:rsidR="002F4B1D">
        <w:t>)</w:t>
      </w:r>
      <w:r w:rsidR="00AA691A">
        <w:t>.</w:t>
      </w:r>
    </w:p>
    <w:p w14:paraId="20A91154" w14:textId="7A596A69" w:rsidR="008747AD" w:rsidRPr="00670713" w:rsidRDefault="008747AD" w:rsidP="00112749">
      <w:pPr>
        <w:pStyle w:val="WorkFlowList"/>
      </w:pPr>
      <w:r w:rsidRPr="00670713">
        <w:t xml:space="preserve">Finally, </w:t>
      </w:r>
      <w:r w:rsidR="004C72EF" w:rsidRPr="00670713">
        <w:t xml:space="preserve">as the focus is on finding all VCSE organisations, </w:t>
      </w:r>
      <w:r w:rsidR="00670713" w:rsidRPr="00670713">
        <w:t>further</w:t>
      </w:r>
      <w:r w:rsidR="00525D3A">
        <w:t>, more intensive,</w:t>
      </w:r>
      <w:r w:rsidR="00670713" w:rsidRPr="00670713">
        <w:t xml:space="preserve"> </w:t>
      </w:r>
      <w:r w:rsidR="00525D3A">
        <w:t xml:space="preserve">internet searches were undertaken for </w:t>
      </w:r>
      <w:r w:rsidR="00670713" w:rsidRPr="00670713">
        <w:t xml:space="preserve">suppliers tagged in the </w:t>
      </w:r>
      <w:r w:rsidR="005646AA" w:rsidRPr="00670713">
        <w:t>‘</w:t>
      </w:r>
      <w:r w:rsidR="001B06E0" w:rsidRPr="00670713">
        <w:t>Expense Type</w:t>
      </w:r>
      <w:r w:rsidR="005646AA" w:rsidRPr="00670713">
        <w:t>’</w:t>
      </w:r>
      <w:r w:rsidR="001B06E0" w:rsidRPr="00670713">
        <w:t xml:space="preserve"> and </w:t>
      </w:r>
      <w:r w:rsidR="005646AA" w:rsidRPr="00670713">
        <w:t>‘</w:t>
      </w:r>
      <w:r w:rsidR="001B06E0" w:rsidRPr="00670713">
        <w:t>Expense Sector</w:t>
      </w:r>
      <w:r w:rsidR="005646AA" w:rsidRPr="00670713">
        <w:t>’</w:t>
      </w:r>
      <w:r w:rsidR="00670713" w:rsidRPr="00670713">
        <w:t xml:space="preserve"> entries as being </w:t>
      </w:r>
      <w:r w:rsidR="001B06E0" w:rsidRPr="00670713">
        <w:t>‘Not-for-Profit’</w:t>
      </w:r>
      <w:r w:rsidR="00670713" w:rsidRPr="00670713">
        <w:t xml:space="preserve"> or </w:t>
      </w:r>
      <w:r w:rsidR="001B06E0" w:rsidRPr="00670713">
        <w:t xml:space="preserve">‘Voluntary’. </w:t>
      </w:r>
    </w:p>
    <w:p w14:paraId="316A34ED" w14:textId="77777777" w:rsidR="002F4B1D" w:rsidRDefault="00670713" w:rsidP="00C0500F">
      <w:pPr>
        <w:pStyle w:val="BodyText"/>
      </w:pPr>
      <w:r>
        <w:t>The process is far from perfect, and misidentification and non-identification remain</w:t>
      </w:r>
      <w:r w:rsidR="00B84BEE">
        <w:t xml:space="preserve"> significant</w:t>
      </w:r>
      <w:r>
        <w:t xml:space="preserve"> issue</w:t>
      </w:r>
      <w:r w:rsidR="00525D3A">
        <w:t>s. As others have noted</w:t>
      </w:r>
      <w:r w:rsidR="00525D3A">
        <w:rPr>
          <w:rStyle w:val="FootnoteReference"/>
        </w:rPr>
        <w:footnoteReference w:id="13"/>
      </w:r>
      <w:r w:rsidR="00525D3A">
        <w:t xml:space="preserve">, although the legislation driving transparency is ambitious, there is no requirement </w:t>
      </w:r>
      <w:r w:rsidR="0006500E">
        <w:t>or guarantee that the data are accurate!</w:t>
      </w:r>
      <w:r w:rsidR="00525D3A">
        <w:t xml:space="preserve"> </w:t>
      </w:r>
    </w:p>
    <w:p w14:paraId="757A0321" w14:textId="4CF6C180" w:rsidR="000604BB" w:rsidRDefault="00525D3A" w:rsidP="00C0500F">
      <w:pPr>
        <w:pStyle w:val="BodyText"/>
      </w:pPr>
      <w:r>
        <w:t>Nevertheless,</w:t>
      </w:r>
      <w:r w:rsidR="00670713">
        <w:t xml:space="preserve"> as detailed in Tables 3 and 4 below, the vast bulk of CCG expenditure in the </w:t>
      </w:r>
      <w:r w:rsidR="000B3C30">
        <w:t>“over-threshold”</w:t>
      </w:r>
      <w:r w:rsidR="00670713">
        <w:t xml:space="preserve"> accounts </w:t>
      </w:r>
      <w:r w:rsidR="000604BB">
        <w:t>has been</w:t>
      </w:r>
      <w:r w:rsidR="00670713">
        <w:t xml:space="preserve"> accounted for. </w:t>
      </w:r>
      <w:r w:rsidR="00A82FBC">
        <w:t>Idiosyncratic use of names and acronyms means</w:t>
      </w:r>
      <w:r w:rsidR="00670713">
        <w:t xml:space="preserve"> </w:t>
      </w:r>
      <w:r w:rsidR="00FE7180">
        <w:t>1</w:t>
      </w:r>
      <w:r w:rsidR="00E94DB1">
        <w:t>8</w:t>
      </w:r>
      <w:r w:rsidR="00B84BEE">
        <w:t>8</w:t>
      </w:r>
      <w:r w:rsidR="00670713">
        <w:t xml:space="preserve"> </w:t>
      </w:r>
      <w:r w:rsidR="002B3101">
        <w:t>(</w:t>
      </w:r>
      <w:r w:rsidR="00FE7180">
        <w:t>1.</w:t>
      </w:r>
      <w:r w:rsidR="00460031">
        <w:t>8</w:t>
      </w:r>
      <w:r w:rsidR="002B3101">
        <w:t xml:space="preserve">%) suppliers, </w:t>
      </w:r>
      <w:r w:rsidR="00A82FBC">
        <w:t xml:space="preserve">receiving </w:t>
      </w:r>
      <w:r w:rsidR="002B3101">
        <w:t>just £</w:t>
      </w:r>
      <w:r w:rsidR="00FE7180">
        <w:t>1</w:t>
      </w:r>
      <w:r w:rsidR="00460031">
        <w:t>89</w:t>
      </w:r>
      <w:r w:rsidR="0006500E">
        <w:t>.361</w:t>
      </w:r>
      <w:r w:rsidR="002B3101">
        <w:t xml:space="preserve"> million (0.</w:t>
      </w:r>
      <w:r w:rsidR="00E94DB1">
        <w:t>3</w:t>
      </w:r>
      <w:r w:rsidR="002B3101">
        <w:t xml:space="preserve">%) of CCG spending, could not be linked to organisational websites or entries in the </w:t>
      </w:r>
      <w:r w:rsidR="002B3101" w:rsidRPr="000C2E06">
        <w:t xml:space="preserve">CC/CH registers.  </w:t>
      </w:r>
    </w:p>
    <w:p w14:paraId="5426E3BD" w14:textId="7B91FE47" w:rsidR="00E63641" w:rsidRDefault="00E63641" w:rsidP="00525D3A">
      <w:pPr>
        <w:pStyle w:val="TableCaption"/>
      </w:pPr>
      <w:bookmarkStart w:id="24" w:name="_Ref123169466"/>
      <w:bookmarkStart w:id="25" w:name="_Toc127795214"/>
      <w:r w:rsidRPr="00DD4BD1">
        <w:t xml:space="preserve">Table </w:t>
      </w:r>
      <w:fldSimple w:instr=" SEQ Table \* ARABIC ">
        <w:r w:rsidR="00842C06">
          <w:rPr>
            <w:noProof/>
          </w:rPr>
          <w:t>3</w:t>
        </w:r>
      </w:fldSimple>
      <w:bookmarkEnd w:id="24"/>
      <w:r w:rsidRPr="00DD4BD1">
        <w:t>: Count of suppliers by category and CC/CH Registration</w:t>
      </w:r>
      <w:bookmarkEnd w:id="25"/>
    </w:p>
    <w:tbl>
      <w:tblPr>
        <w:tblW w:w="9073" w:type="dxa"/>
        <w:tblLook w:val="04A0" w:firstRow="1" w:lastRow="0" w:firstColumn="1" w:lastColumn="0" w:noHBand="0" w:noVBand="1"/>
      </w:tblPr>
      <w:tblGrid>
        <w:gridCol w:w="2127"/>
        <w:gridCol w:w="1276"/>
        <w:gridCol w:w="1417"/>
        <w:gridCol w:w="1418"/>
        <w:gridCol w:w="1559"/>
        <w:gridCol w:w="1276"/>
      </w:tblGrid>
      <w:tr w:rsidR="00F51C95" w:rsidRPr="00BA595B" w14:paraId="35760151" w14:textId="77777777" w:rsidTr="00E85AC5">
        <w:trPr>
          <w:trHeight w:val="300"/>
        </w:trPr>
        <w:tc>
          <w:tcPr>
            <w:tcW w:w="2127" w:type="dxa"/>
            <w:tcBorders>
              <w:top w:val="nil"/>
              <w:left w:val="nil"/>
              <w:right w:val="nil"/>
            </w:tcBorders>
            <w:shd w:val="clear" w:color="auto" w:fill="auto"/>
            <w:noWrap/>
            <w:vAlign w:val="bottom"/>
          </w:tcPr>
          <w:p w14:paraId="6B1927DD" w14:textId="77777777" w:rsidR="00F51C95" w:rsidRPr="00BA595B" w:rsidRDefault="00F51C95" w:rsidP="00525D3A">
            <w:pPr>
              <w:pStyle w:val="TableText"/>
              <w:rPr>
                <w:i/>
                <w:iCs/>
                <w:lang w:eastAsia="en-GB"/>
              </w:rPr>
            </w:pPr>
          </w:p>
        </w:tc>
        <w:tc>
          <w:tcPr>
            <w:tcW w:w="5670" w:type="dxa"/>
            <w:gridSpan w:val="4"/>
            <w:tcBorders>
              <w:top w:val="nil"/>
              <w:left w:val="nil"/>
              <w:bottom w:val="single" w:sz="4" w:space="0" w:color="auto"/>
              <w:right w:val="nil"/>
            </w:tcBorders>
            <w:shd w:val="clear" w:color="auto" w:fill="auto"/>
            <w:noWrap/>
            <w:vAlign w:val="bottom"/>
          </w:tcPr>
          <w:p w14:paraId="0C13622C" w14:textId="0D066B21" w:rsidR="00F51C95" w:rsidRPr="00BA595B" w:rsidRDefault="00F51C95" w:rsidP="00525D3A">
            <w:pPr>
              <w:pStyle w:val="TableText"/>
              <w:jc w:val="center"/>
              <w:rPr>
                <w:i/>
                <w:iCs/>
                <w:lang w:eastAsia="en-GB"/>
              </w:rPr>
            </w:pPr>
            <w:r>
              <w:rPr>
                <w:i/>
                <w:iCs/>
                <w:lang w:eastAsia="en-GB"/>
              </w:rPr>
              <w:t>Found in:</w:t>
            </w:r>
          </w:p>
        </w:tc>
        <w:tc>
          <w:tcPr>
            <w:tcW w:w="1276" w:type="dxa"/>
            <w:vMerge w:val="restart"/>
            <w:tcBorders>
              <w:top w:val="nil"/>
              <w:left w:val="nil"/>
              <w:right w:val="nil"/>
            </w:tcBorders>
            <w:shd w:val="clear" w:color="auto" w:fill="auto"/>
            <w:noWrap/>
            <w:vAlign w:val="bottom"/>
          </w:tcPr>
          <w:p w14:paraId="5EA9DC51" w14:textId="64002E05" w:rsidR="00F51C95" w:rsidRPr="00BA595B" w:rsidRDefault="00F51C95" w:rsidP="00525D3A">
            <w:pPr>
              <w:pStyle w:val="TableText"/>
              <w:jc w:val="center"/>
              <w:rPr>
                <w:i/>
                <w:iCs/>
                <w:lang w:eastAsia="en-GB"/>
              </w:rPr>
            </w:pPr>
            <w:r w:rsidRPr="00BA595B">
              <w:rPr>
                <w:i/>
                <w:iCs/>
                <w:lang w:eastAsia="en-GB"/>
              </w:rPr>
              <w:t>Total Suppliers</w:t>
            </w:r>
          </w:p>
        </w:tc>
      </w:tr>
      <w:tr w:rsidR="00F51C95" w:rsidRPr="00BA595B" w14:paraId="2C6F53B4" w14:textId="77777777" w:rsidTr="00E85AC5">
        <w:trPr>
          <w:trHeight w:val="300"/>
        </w:trPr>
        <w:tc>
          <w:tcPr>
            <w:tcW w:w="2127" w:type="dxa"/>
            <w:tcBorders>
              <w:left w:val="nil"/>
              <w:bottom w:val="single" w:sz="4" w:space="0" w:color="auto"/>
              <w:right w:val="nil"/>
            </w:tcBorders>
            <w:shd w:val="clear" w:color="auto" w:fill="auto"/>
            <w:noWrap/>
            <w:vAlign w:val="bottom"/>
            <w:hideMark/>
          </w:tcPr>
          <w:p w14:paraId="6C4B61A4" w14:textId="7614857A" w:rsidR="00F51C95" w:rsidRPr="00BA595B" w:rsidRDefault="00F51C95" w:rsidP="00525D3A">
            <w:pPr>
              <w:pStyle w:val="TableText"/>
              <w:rPr>
                <w:i/>
                <w:iCs/>
                <w:lang w:eastAsia="en-GB"/>
              </w:rPr>
            </w:pPr>
            <w:r w:rsidRPr="00BA595B">
              <w:rPr>
                <w:i/>
                <w:iCs/>
                <w:lang w:eastAsia="en-GB"/>
              </w:rPr>
              <w:t>Category</w:t>
            </w:r>
          </w:p>
        </w:tc>
        <w:tc>
          <w:tcPr>
            <w:tcW w:w="1276" w:type="dxa"/>
            <w:tcBorders>
              <w:top w:val="nil"/>
              <w:left w:val="nil"/>
              <w:bottom w:val="single" w:sz="4" w:space="0" w:color="auto"/>
              <w:right w:val="nil"/>
            </w:tcBorders>
            <w:shd w:val="clear" w:color="auto" w:fill="auto"/>
            <w:noWrap/>
            <w:vAlign w:val="bottom"/>
            <w:hideMark/>
          </w:tcPr>
          <w:p w14:paraId="22EDB236" w14:textId="58AD8F3B" w:rsidR="00F51C95" w:rsidRPr="00BA595B" w:rsidRDefault="00F51C95" w:rsidP="00525D3A">
            <w:pPr>
              <w:pStyle w:val="TableText"/>
              <w:jc w:val="center"/>
              <w:rPr>
                <w:i/>
                <w:iCs/>
                <w:lang w:eastAsia="en-GB"/>
              </w:rPr>
            </w:pPr>
            <w:r w:rsidRPr="00BA595B">
              <w:rPr>
                <w:i/>
                <w:iCs/>
                <w:lang w:eastAsia="en-GB"/>
              </w:rPr>
              <w:t>CC &amp; CH</w:t>
            </w:r>
            <w:r>
              <w:rPr>
                <w:i/>
                <w:iCs/>
                <w:lang w:eastAsia="en-GB"/>
              </w:rPr>
              <w:t xml:space="preserve"> </w:t>
            </w:r>
          </w:p>
        </w:tc>
        <w:tc>
          <w:tcPr>
            <w:tcW w:w="1417" w:type="dxa"/>
            <w:tcBorders>
              <w:top w:val="nil"/>
              <w:left w:val="nil"/>
              <w:bottom w:val="single" w:sz="4" w:space="0" w:color="auto"/>
              <w:right w:val="nil"/>
            </w:tcBorders>
            <w:shd w:val="clear" w:color="auto" w:fill="auto"/>
            <w:noWrap/>
            <w:vAlign w:val="bottom"/>
            <w:hideMark/>
          </w:tcPr>
          <w:p w14:paraId="13DA8F2C" w14:textId="0C29A837" w:rsidR="00F51C95" w:rsidRPr="00BA595B" w:rsidRDefault="00F51C95" w:rsidP="00525D3A">
            <w:pPr>
              <w:pStyle w:val="TableText"/>
              <w:jc w:val="center"/>
              <w:rPr>
                <w:i/>
                <w:iCs/>
                <w:lang w:eastAsia="en-GB"/>
              </w:rPr>
            </w:pPr>
            <w:r w:rsidRPr="00BA595B">
              <w:rPr>
                <w:i/>
                <w:iCs/>
                <w:lang w:eastAsia="en-GB"/>
              </w:rPr>
              <w:t>CC not CH</w:t>
            </w:r>
          </w:p>
        </w:tc>
        <w:tc>
          <w:tcPr>
            <w:tcW w:w="1418" w:type="dxa"/>
            <w:tcBorders>
              <w:top w:val="nil"/>
              <w:left w:val="nil"/>
              <w:bottom w:val="single" w:sz="4" w:space="0" w:color="auto"/>
              <w:right w:val="nil"/>
            </w:tcBorders>
            <w:shd w:val="clear" w:color="auto" w:fill="auto"/>
            <w:noWrap/>
            <w:vAlign w:val="bottom"/>
            <w:hideMark/>
          </w:tcPr>
          <w:p w14:paraId="42B33E63" w14:textId="1DC71651" w:rsidR="00F51C95" w:rsidRPr="00BA595B" w:rsidRDefault="00F51C95" w:rsidP="00525D3A">
            <w:pPr>
              <w:pStyle w:val="TableText"/>
              <w:jc w:val="center"/>
              <w:rPr>
                <w:i/>
                <w:iCs/>
                <w:lang w:eastAsia="en-GB"/>
              </w:rPr>
            </w:pPr>
            <w:r w:rsidRPr="00BA595B">
              <w:rPr>
                <w:i/>
                <w:iCs/>
                <w:lang w:eastAsia="en-GB"/>
              </w:rPr>
              <w:t>CH not CC</w:t>
            </w:r>
          </w:p>
        </w:tc>
        <w:tc>
          <w:tcPr>
            <w:tcW w:w="1559" w:type="dxa"/>
            <w:tcBorders>
              <w:top w:val="nil"/>
              <w:left w:val="nil"/>
              <w:bottom w:val="single" w:sz="4" w:space="0" w:color="auto"/>
              <w:right w:val="nil"/>
            </w:tcBorders>
            <w:shd w:val="clear" w:color="auto" w:fill="auto"/>
            <w:noWrap/>
            <w:vAlign w:val="bottom"/>
            <w:hideMark/>
          </w:tcPr>
          <w:p w14:paraId="716D26AA" w14:textId="0586BE29" w:rsidR="00F51C95" w:rsidRPr="00BA595B" w:rsidRDefault="00F51C95" w:rsidP="00525D3A">
            <w:pPr>
              <w:pStyle w:val="TableText"/>
              <w:jc w:val="center"/>
              <w:rPr>
                <w:i/>
                <w:iCs/>
                <w:lang w:eastAsia="en-GB"/>
              </w:rPr>
            </w:pPr>
            <w:r>
              <w:rPr>
                <w:i/>
                <w:iCs/>
                <w:lang w:eastAsia="en-GB"/>
              </w:rPr>
              <w:t>Neither</w:t>
            </w:r>
            <w:r w:rsidRPr="00BA595B">
              <w:rPr>
                <w:i/>
                <w:iCs/>
                <w:lang w:eastAsia="en-GB"/>
              </w:rPr>
              <w:t xml:space="preserve"> </w:t>
            </w:r>
          </w:p>
        </w:tc>
        <w:tc>
          <w:tcPr>
            <w:tcW w:w="1276" w:type="dxa"/>
            <w:vMerge/>
            <w:tcBorders>
              <w:left w:val="nil"/>
              <w:bottom w:val="single" w:sz="4" w:space="0" w:color="auto"/>
              <w:right w:val="nil"/>
            </w:tcBorders>
            <w:shd w:val="clear" w:color="auto" w:fill="auto"/>
            <w:noWrap/>
            <w:vAlign w:val="bottom"/>
            <w:hideMark/>
          </w:tcPr>
          <w:p w14:paraId="03714BA3" w14:textId="08B006C3" w:rsidR="00F51C95" w:rsidRPr="00BA595B" w:rsidRDefault="00F51C95" w:rsidP="00525D3A">
            <w:pPr>
              <w:pStyle w:val="TableText"/>
              <w:jc w:val="center"/>
              <w:rPr>
                <w:i/>
                <w:iCs/>
                <w:lang w:eastAsia="en-GB"/>
              </w:rPr>
            </w:pPr>
          </w:p>
        </w:tc>
      </w:tr>
      <w:tr w:rsidR="00460031" w:rsidRPr="00E63641" w14:paraId="255451F9" w14:textId="77777777" w:rsidTr="00E85AC5">
        <w:trPr>
          <w:trHeight w:val="300"/>
        </w:trPr>
        <w:tc>
          <w:tcPr>
            <w:tcW w:w="2127" w:type="dxa"/>
            <w:tcBorders>
              <w:top w:val="single" w:sz="4" w:space="0" w:color="auto"/>
              <w:left w:val="nil"/>
              <w:bottom w:val="nil"/>
              <w:right w:val="nil"/>
            </w:tcBorders>
            <w:shd w:val="clear" w:color="auto" w:fill="auto"/>
            <w:noWrap/>
            <w:vAlign w:val="center"/>
            <w:hideMark/>
          </w:tcPr>
          <w:p w14:paraId="45EAEFAA" w14:textId="4A2FBB03" w:rsidR="00460031" w:rsidRPr="00BA595B" w:rsidRDefault="00460031" w:rsidP="00525D3A">
            <w:pPr>
              <w:pStyle w:val="TableText"/>
              <w:rPr>
                <w:i/>
                <w:iCs/>
                <w:lang w:eastAsia="en-GB"/>
              </w:rPr>
            </w:pPr>
            <w:r w:rsidRPr="00BA595B">
              <w:rPr>
                <w:i/>
                <w:iCs/>
                <w:lang w:eastAsia="en-GB"/>
              </w:rPr>
              <w:t>NHS</w:t>
            </w:r>
            <w:r>
              <w:rPr>
                <w:rFonts w:cs="Times New Roman"/>
                <w:i/>
                <w:iCs/>
                <w:lang w:eastAsia="en-GB"/>
              </w:rPr>
              <w:t>†</w:t>
            </w:r>
          </w:p>
        </w:tc>
        <w:tc>
          <w:tcPr>
            <w:tcW w:w="1276" w:type="dxa"/>
            <w:tcBorders>
              <w:top w:val="single" w:sz="4" w:space="0" w:color="auto"/>
              <w:left w:val="nil"/>
              <w:bottom w:val="nil"/>
              <w:right w:val="nil"/>
            </w:tcBorders>
            <w:shd w:val="clear" w:color="auto" w:fill="auto"/>
            <w:noWrap/>
            <w:hideMark/>
          </w:tcPr>
          <w:p w14:paraId="60F92D57" w14:textId="59A6EEC2" w:rsidR="00460031" w:rsidRPr="00E63641" w:rsidRDefault="00460031" w:rsidP="00525D3A">
            <w:pPr>
              <w:pStyle w:val="TableText"/>
              <w:ind w:right="340"/>
              <w:jc w:val="right"/>
              <w:rPr>
                <w:lang w:eastAsia="en-GB"/>
              </w:rPr>
            </w:pPr>
            <w:r w:rsidRPr="00F55D5C">
              <w:t>0</w:t>
            </w:r>
          </w:p>
        </w:tc>
        <w:tc>
          <w:tcPr>
            <w:tcW w:w="1417" w:type="dxa"/>
            <w:tcBorders>
              <w:top w:val="single" w:sz="4" w:space="0" w:color="auto"/>
              <w:left w:val="nil"/>
              <w:bottom w:val="nil"/>
              <w:right w:val="nil"/>
            </w:tcBorders>
            <w:shd w:val="clear" w:color="auto" w:fill="auto"/>
            <w:noWrap/>
            <w:hideMark/>
          </w:tcPr>
          <w:p w14:paraId="524D419D" w14:textId="682517F2" w:rsidR="00460031" w:rsidRPr="00E63641" w:rsidRDefault="00460031" w:rsidP="00525D3A">
            <w:pPr>
              <w:pStyle w:val="TableText"/>
              <w:ind w:right="340"/>
              <w:jc w:val="right"/>
              <w:rPr>
                <w:lang w:eastAsia="en-GB"/>
              </w:rPr>
            </w:pPr>
            <w:r w:rsidRPr="00F55D5C">
              <w:t>0</w:t>
            </w:r>
          </w:p>
        </w:tc>
        <w:tc>
          <w:tcPr>
            <w:tcW w:w="1418" w:type="dxa"/>
            <w:tcBorders>
              <w:top w:val="single" w:sz="4" w:space="0" w:color="auto"/>
              <w:left w:val="nil"/>
              <w:bottom w:val="nil"/>
              <w:right w:val="nil"/>
            </w:tcBorders>
            <w:shd w:val="clear" w:color="auto" w:fill="auto"/>
            <w:noWrap/>
            <w:hideMark/>
          </w:tcPr>
          <w:p w14:paraId="78DB0A29" w14:textId="1ACA635A" w:rsidR="00460031" w:rsidRPr="00E63641" w:rsidRDefault="00460031" w:rsidP="00525D3A">
            <w:pPr>
              <w:pStyle w:val="TableText"/>
              <w:ind w:right="340"/>
              <w:jc w:val="right"/>
              <w:rPr>
                <w:lang w:eastAsia="en-GB"/>
              </w:rPr>
            </w:pPr>
            <w:r w:rsidRPr="00F55D5C">
              <w:t>2</w:t>
            </w:r>
          </w:p>
        </w:tc>
        <w:tc>
          <w:tcPr>
            <w:tcW w:w="1559" w:type="dxa"/>
            <w:tcBorders>
              <w:top w:val="single" w:sz="4" w:space="0" w:color="auto"/>
              <w:left w:val="nil"/>
              <w:bottom w:val="nil"/>
              <w:right w:val="nil"/>
            </w:tcBorders>
            <w:shd w:val="clear" w:color="auto" w:fill="auto"/>
            <w:noWrap/>
            <w:hideMark/>
          </w:tcPr>
          <w:p w14:paraId="0621B6D7" w14:textId="283F8E73" w:rsidR="00460031" w:rsidRPr="00E63641" w:rsidRDefault="00460031" w:rsidP="00525D3A">
            <w:pPr>
              <w:pStyle w:val="TableText"/>
              <w:ind w:right="340"/>
              <w:jc w:val="right"/>
              <w:rPr>
                <w:lang w:eastAsia="en-GB"/>
              </w:rPr>
            </w:pPr>
            <w:r w:rsidRPr="00F55D5C">
              <w:t>536</w:t>
            </w:r>
          </w:p>
        </w:tc>
        <w:tc>
          <w:tcPr>
            <w:tcW w:w="1276" w:type="dxa"/>
            <w:tcBorders>
              <w:top w:val="single" w:sz="4" w:space="0" w:color="auto"/>
              <w:left w:val="nil"/>
              <w:bottom w:val="nil"/>
              <w:right w:val="nil"/>
            </w:tcBorders>
            <w:shd w:val="clear" w:color="auto" w:fill="auto"/>
            <w:noWrap/>
            <w:hideMark/>
          </w:tcPr>
          <w:p w14:paraId="567017F7" w14:textId="62F56931" w:rsidR="00460031" w:rsidRPr="00E63641" w:rsidRDefault="00460031" w:rsidP="00525D3A">
            <w:pPr>
              <w:pStyle w:val="TableText"/>
              <w:ind w:right="227"/>
              <w:jc w:val="right"/>
              <w:rPr>
                <w:lang w:eastAsia="en-GB"/>
              </w:rPr>
            </w:pPr>
            <w:r w:rsidRPr="00F55D5C">
              <w:t>538</w:t>
            </w:r>
          </w:p>
        </w:tc>
      </w:tr>
      <w:tr w:rsidR="00460031" w:rsidRPr="00E63641" w14:paraId="780FDC50" w14:textId="77777777" w:rsidTr="00FA537C">
        <w:trPr>
          <w:trHeight w:val="300"/>
        </w:trPr>
        <w:tc>
          <w:tcPr>
            <w:tcW w:w="2127" w:type="dxa"/>
            <w:tcBorders>
              <w:top w:val="nil"/>
              <w:left w:val="nil"/>
              <w:bottom w:val="nil"/>
              <w:right w:val="nil"/>
            </w:tcBorders>
            <w:shd w:val="clear" w:color="auto" w:fill="auto"/>
            <w:noWrap/>
            <w:vAlign w:val="center"/>
            <w:hideMark/>
          </w:tcPr>
          <w:p w14:paraId="2ED97EDF" w14:textId="77777777" w:rsidR="00460031" w:rsidRPr="00BA595B" w:rsidRDefault="00460031" w:rsidP="00525D3A">
            <w:pPr>
              <w:pStyle w:val="TableText"/>
              <w:rPr>
                <w:i/>
                <w:iCs/>
                <w:lang w:eastAsia="en-GB"/>
              </w:rPr>
            </w:pPr>
            <w:r w:rsidRPr="00BA595B">
              <w:rPr>
                <w:i/>
                <w:iCs/>
                <w:lang w:eastAsia="en-GB"/>
              </w:rPr>
              <w:t>LA</w:t>
            </w:r>
          </w:p>
        </w:tc>
        <w:tc>
          <w:tcPr>
            <w:tcW w:w="1276" w:type="dxa"/>
            <w:tcBorders>
              <w:top w:val="nil"/>
              <w:left w:val="nil"/>
              <w:bottom w:val="nil"/>
              <w:right w:val="nil"/>
            </w:tcBorders>
            <w:shd w:val="clear" w:color="auto" w:fill="auto"/>
            <w:noWrap/>
            <w:hideMark/>
          </w:tcPr>
          <w:p w14:paraId="68E4FA70" w14:textId="2A431440" w:rsidR="00460031" w:rsidRPr="00E63641" w:rsidRDefault="00460031" w:rsidP="00525D3A">
            <w:pPr>
              <w:pStyle w:val="TableText"/>
              <w:ind w:right="340"/>
              <w:jc w:val="right"/>
              <w:rPr>
                <w:lang w:eastAsia="en-GB"/>
              </w:rPr>
            </w:pPr>
            <w:r w:rsidRPr="00F55D5C">
              <w:t>0</w:t>
            </w:r>
          </w:p>
        </w:tc>
        <w:tc>
          <w:tcPr>
            <w:tcW w:w="1417" w:type="dxa"/>
            <w:tcBorders>
              <w:top w:val="nil"/>
              <w:left w:val="nil"/>
              <w:bottom w:val="nil"/>
              <w:right w:val="nil"/>
            </w:tcBorders>
            <w:shd w:val="clear" w:color="auto" w:fill="auto"/>
            <w:noWrap/>
            <w:hideMark/>
          </w:tcPr>
          <w:p w14:paraId="33689B31" w14:textId="64BA2410" w:rsidR="00460031" w:rsidRPr="00E63641" w:rsidRDefault="00460031" w:rsidP="00525D3A">
            <w:pPr>
              <w:pStyle w:val="TableText"/>
              <w:ind w:right="340"/>
              <w:jc w:val="right"/>
              <w:rPr>
                <w:lang w:eastAsia="en-GB"/>
              </w:rPr>
            </w:pPr>
            <w:r w:rsidRPr="00F55D5C">
              <w:t>0</w:t>
            </w:r>
          </w:p>
        </w:tc>
        <w:tc>
          <w:tcPr>
            <w:tcW w:w="1418" w:type="dxa"/>
            <w:tcBorders>
              <w:top w:val="nil"/>
              <w:left w:val="nil"/>
              <w:bottom w:val="nil"/>
              <w:right w:val="nil"/>
            </w:tcBorders>
            <w:shd w:val="clear" w:color="auto" w:fill="auto"/>
            <w:noWrap/>
            <w:hideMark/>
          </w:tcPr>
          <w:p w14:paraId="4F166DFB" w14:textId="16308C63" w:rsidR="00460031" w:rsidRPr="00E63641" w:rsidRDefault="00460031" w:rsidP="00525D3A">
            <w:pPr>
              <w:pStyle w:val="TableText"/>
              <w:ind w:right="340"/>
              <w:jc w:val="right"/>
              <w:rPr>
                <w:lang w:eastAsia="en-GB"/>
              </w:rPr>
            </w:pPr>
            <w:r w:rsidRPr="00F55D5C">
              <w:t>0</w:t>
            </w:r>
          </w:p>
        </w:tc>
        <w:tc>
          <w:tcPr>
            <w:tcW w:w="1559" w:type="dxa"/>
            <w:tcBorders>
              <w:top w:val="nil"/>
              <w:left w:val="nil"/>
              <w:bottom w:val="dashed" w:sz="8" w:space="0" w:color="auto"/>
              <w:right w:val="nil"/>
            </w:tcBorders>
            <w:shd w:val="clear" w:color="auto" w:fill="auto"/>
            <w:noWrap/>
            <w:hideMark/>
          </w:tcPr>
          <w:p w14:paraId="2A862574" w14:textId="45BFC5C0" w:rsidR="00460031" w:rsidRPr="00E63641" w:rsidRDefault="00460031" w:rsidP="00525D3A">
            <w:pPr>
              <w:pStyle w:val="TableText"/>
              <w:ind w:right="340"/>
              <w:jc w:val="right"/>
              <w:rPr>
                <w:lang w:eastAsia="en-GB"/>
              </w:rPr>
            </w:pPr>
            <w:r w:rsidRPr="00F55D5C">
              <w:t>212</w:t>
            </w:r>
          </w:p>
        </w:tc>
        <w:tc>
          <w:tcPr>
            <w:tcW w:w="1276" w:type="dxa"/>
            <w:tcBorders>
              <w:top w:val="nil"/>
              <w:left w:val="nil"/>
              <w:bottom w:val="nil"/>
              <w:right w:val="nil"/>
            </w:tcBorders>
            <w:shd w:val="clear" w:color="auto" w:fill="auto"/>
            <w:noWrap/>
            <w:hideMark/>
          </w:tcPr>
          <w:p w14:paraId="7757A2DC" w14:textId="7C8B03BF" w:rsidR="00460031" w:rsidRPr="00E63641" w:rsidRDefault="00460031" w:rsidP="00525D3A">
            <w:pPr>
              <w:pStyle w:val="TableText"/>
              <w:ind w:right="227"/>
              <w:jc w:val="right"/>
              <w:rPr>
                <w:lang w:eastAsia="en-GB"/>
              </w:rPr>
            </w:pPr>
            <w:r w:rsidRPr="00F55D5C">
              <w:t>212</w:t>
            </w:r>
          </w:p>
        </w:tc>
      </w:tr>
      <w:tr w:rsidR="00460031" w:rsidRPr="00E63641" w14:paraId="68E32AA2" w14:textId="77777777" w:rsidTr="00FA537C">
        <w:trPr>
          <w:trHeight w:val="300"/>
        </w:trPr>
        <w:tc>
          <w:tcPr>
            <w:tcW w:w="2127" w:type="dxa"/>
            <w:tcBorders>
              <w:top w:val="nil"/>
              <w:left w:val="nil"/>
              <w:bottom w:val="nil"/>
              <w:right w:val="nil"/>
            </w:tcBorders>
            <w:shd w:val="clear" w:color="auto" w:fill="auto"/>
            <w:noWrap/>
            <w:vAlign w:val="center"/>
            <w:hideMark/>
          </w:tcPr>
          <w:p w14:paraId="1383D5C9" w14:textId="04FF45BF" w:rsidR="00460031" w:rsidRPr="00BA595B" w:rsidRDefault="00460031" w:rsidP="00525D3A">
            <w:pPr>
              <w:pStyle w:val="TableText"/>
              <w:rPr>
                <w:i/>
                <w:iCs/>
                <w:lang w:eastAsia="en-GB"/>
              </w:rPr>
            </w:pPr>
            <w:r w:rsidRPr="00BA595B">
              <w:rPr>
                <w:i/>
                <w:iCs/>
                <w:lang w:eastAsia="en-GB"/>
              </w:rPr>
              <w:t>GP Services</w:t>
            </w:r>
          </w:p>
        </w:tc>
        <w:tc>
          <w:tcPr>
            <w:tcW w:w="1276" w:type="dxa"/>
            <w:tcBorders>
              <w:top w:val="nil"/>
              <w:left w:val="nil"/>
              <w:bottom w:val="nil"/>
              <w:right w:val="nil"/>
            </w:tcBorders>
            <w:shd w:val="clear" w:color="auto" w:fill="auto"/>
            <w:noWrap/>
            <w:hideMark/>
          </w:tcPr>
          <w:p w14:paraId="43AD4913" w14:textId="4AE5B6E2" w:rsidR="00460031" w:rsidRPr="00E63641" w:rsidRDefault="00460031" w:rsidP="00525D3A">
            <w:pPr>
              <w:pStyle w:val="TableText"/>
              <w:ind w:right="340"/>
              <w:jc w:val="right"/>
              <w:rPr>
                <w:lang w:eastAsia="en-GB"/>
              </w:rPr>
            </w:pPr>
            <w:r w:rsidRPr="00F55D5C">
              <w:t>3</w:t>
            </w:r>
          </w:p>
        </w:tc>
        <w:tc>
          <w:tcPr>
            <w:tcW w:w="1417" w:type="dxa"/>
            <w:tcBorders>
              <w:top w:val="nil"/>
              <w:left w:val="nil"/>
              <w:bottom w:val="nil"/>
              <w:right w:val="nil"/>
            </w:tcBorders>
            <w:shd w:val="clear" w:color="auto" w:fill="auto"/>
            <w:noWrap/>
            <w:hideMark/>
          </w:tcPr>
          <w:p w14:paraId="69D93B8F" w14:textId="19DF524B" w:rsidR="00460031" w:rsidRPr="00E63641" w:rsidRDefault="00460031" w:rsidP="00525D3A">
            <w:pPr>
              <w:pStyle w:val="TableText"/>
              <w:ind w:right="340"/>
              <w:jc w:val="right"/>
              <w:rPr>
                <w:lang w:eastAsia="en-GB"/>
              </w:rPr>
            </w:pPr>
            <w:r w:rsidRPr="00F55D5C">
              <w:t>3</w:t>
            </w:r>
          </w:p>
        </w:tc>
        <w:tc>
          <w:tcPr>
            <w:tcW w:w="1418" w:type="dxa"/>
            <w:tcBorders>
              <w:top w:val="nil"/>
              <w:left w:val="nil"/>
              <w:bottom w:val="nil"/>
              <w:right w:val="dashed" w:sz="8" w:space="0" w:color="auto"/>
            </w:tcBorders>
            <w:shd w:val="clear" w:color="auto" w:fill="auto"/>
            <w:noWrap/>
            <w:hideMark/>
          </w:tcPr>
          <w:p w14:paraId="4DCEDF19" w14:textId="08A15D4C" w:rsidR="00460031" w:rsidRPr="00E63641" w:rsidRDefault="00460031" w:rsidP="00525D3A">
            <w:pPr>
              <w:pStyle w:val="TableText"/>
              <w:ind w:right="340"/>
              <w:jc w:val="right"/>
              <w:rPr>
                <w:lang w:eastAsia="en-GB"/>
              </w:rPr>
            </w:pPr>
            <w:r w:rsidRPr="00F55D5C">
              <w:t>32</w:t>
            </w:r>
            <w:r w:rsidR="0012796C">
              <w:t>1</w:t>
            </w:r>
          </w:p>
        </w:tc>
        <w:tc>
          <w:tcPr>
            <w:tcW w:w="1559" w:type="dxa"/>
            <w:tcBorders>
              <w:top w:val="dashed" w:sz="8" w:space="0" w:color="auto"/>
              <w:left w:val="dashed" w:sz="8" w:space="0" w:color="auto"/>
              <w:bottom w:val="nil"/>
              <w:right w:val="dashed" w:sz="8" w:space="0" w:color="auto"/>
            </w:tcBorders>
            <w:shd w:val="clear" w:color="auto" w:fill="auto"/>
            <w:noWrap/>
            <w:hideMark/>
          </w:tcPr>
          <w:p w14:paraId="1451AF7B" w14:textId="3D88CB44" w:rsidR="00460031" w:rsidRPr="00E63641" w:rsidRDefault="00460031" w:rsidP="00525D3A">
            <w:pPr>
              <w:pStyle w:val="TableText"/>
              <w:ind w:right="340"/>
              <w:jc w:val="right"/>
              <w:rPr>
                <w:lang w:eastAsia="en-GB"/>
              </w:rPr>
            </w:pPr>
            <w:r w:rsidRPr="00F55D5C">
              <w:t>5</w:t>
            </w:r>
            <w:r w:rsidR="0012796C">
              <w:t>,961</w:t>
            </w:r>
          </w:p>
        </w:tc>
        <w:tc>
          <w:tcPr>
            <w:tcW w:w="1276" w:type="dxa"/>
            <w:tcBorders>
              <w:top w:val="nil"/>
              <w:left w:val="dashed" w:sz="8" w:space="0" w:color="auto"/>
              <w:bottom w:val="nil"/>
              <w:right w:val="nil"/>
            </w:tcBorders>
            <w:shd w:val="clear" w:color="auto" w:fill="auto"/>
            <w:noWrap/>
            <w:hideMark/>
          </w:tcPr>
          <w:p w14:paraId="1CC5BCA8" w14:textId="2198E74A" w:rsidR="00460031" w:rsidRPr="00E63641" w:rsidRDefault="00460031" w:rsidP="00525D3A">
            <w:pPr>
              <w:pStyle w:val="TableText"/>
              <w:ind w:right="227"/>
              <w:jc w:val="right"/>
              <w:rPr>
                <w:lang w:eastAsia="en-GB"/>
              </w:rPr>
            </w:pPr>
            <w:r w:rsidRPr="00F55D5C">
              <w:t>6</w:t>
            </w:r>
            <w:r w:rsidR="0012796C">
              <w:t>,</w:t>
            </w:r>
            <w:r w:rsidRPr="00F55D5C">
              <w:t>2</w:t>
            </w:r>
            <w:r w:rsidR="0012796C">
              <w:t>88</w:t>
            </w:r>
          </w:p>
        </w:tc>
      </w:tr>
      <w:tr w:rsidR="00460031" w:rsidRPr="00E63641" w14:paraId="4DC70EFE" w14:textId="77777777" w:rsidTr="00FA537C">
        <w:trPr>
          <w:trHeight w:val="300"/>
        </w:trPr>
        <w:tc>
          <w:tcPr>
            <w:tcW w:w="2127" w:type="dxa"/>
            <w:tcBorders>
              <w:top w:val="nil"/>
              <w:left w:val="nil"/>
              <w:bottom w:val="nil"/>
              <w:right w:val="nil"/>
            </w:tcBorders>
            <w:shd w:val="clear" w:color="auto" w:fill="auto"/>
            <w:noWrap/>
            <w:vAlign w:val="center"/>
            <w:hideMark/>
          </w:tcPr>
          <w:p w14:paraId="6DE76C21" w14:textId="5023522E" w:rsidR="00460031" w:rsidRPr="00BA595B" w:rsidRDefault="00460031" w:rsidP="00525D3A">
            <w:pPr>
              <w:pStyle w:val="TableText"/>
              <w:rPr>
                <w:i/>
                <w:iCs/>
                <w:lang w:eastAsia="en-GB"/>
              </w:rPr>
            </w:pPr>
            <w:r w:rsidRPr="00BA595B">
              <w:rPr>
                <w:i/>
                <w:iCs/>
                <w:lang w:eastAsia="en-GB"/>
              </w:rPr>
              <w:t>Care Home</w:t>
            </w:r>
          </w:p>
        </w:tc>
        <w:tc>
          <w:tcPr>
            <w:tcW w:w="1276" w:type="dxa"/>
            <w:tcBorders>
              <w:top w:val="nil"/>
              <w:left w:val="nil"/>
              <w:bottom w:val="nil"/>
              <w:right w:val="nil"/>
            </w:tcBorders>
            <w:shd w:val="clear" w:color="auto" w:fill="auto"/>
            <w:noWrap/>
            <w:hideMark/>
          </w:tcPr>
          <w:p w14:paraId="622C21AD" w14:textId="5315BC26" w:rsidR="00460031" w:rsidRPr="00E63641" w:rsidRDefault="00460031" w:rsidP="00525D3A">
            <w:pPr>
              <w:pStyle w:val="TableText"/>
              <w:ind w:right="340"/>
              <w:jc w:val="right"/>
              <w:rPr>
                <w:lang w:eastAsia="en-GB"/>
              </w:rPr>
            </w:pPr>
            <w:r w:rsidRPr="00F55D5C">
              <w:t>67</w:t>
            </w:r>
          </w:p>
        </w:tc>
        <w:tc>
          <w:tcPr>
            <w:tcW w:w="1417" w:type="dxa"/>
            <w:tcBorders>
              <w:top w:val="nil"/>
              <w:left w:val="nil"/>
              <w:bottom w:val="nil"/>
              <w:right w:val="nil"/>
            </w:tcBorders>
            <w:shd w:val="clear" w:color="auto" w:fill="auto"/>
            <w:noWrap/>
            <w:hideMark/>
          </w:tcPr>
          <w:p w14:paraId="5214D512" w14:textId="407A02EB" w:rsidR="00460031" w:rsidRPr="00E63641" w:rsidRDefault="00460031" w:rsidP="00525D3A">
            <w:pPr>
              <w:pStyle w:val="TableText"/>
              <w:ind w:right="340"/>
              <w:jc w:val="right"/>
              <w:rPr>
                <w:lang w:eastAsia="en-GB"/>
              </w:rPr>
            </w:pPr>
            <w:r w:rsidRPr="00F55D5C">
              <w:t>7</w:t>
            </w:r>
          </w:p>
        </w:tc>
        <w:tc>
          <w:tcPr>
            <w:tcW w:w="1418" w:type="dxa"/>
            <w:tcBorders>
              <w:top w:val="nil"/>
              <w:left w:val="nil"/>
              <w:bottom w:val="nil"/>
              <w:right w:val="dashed" w:sz="8" w:space="0" w:color="auto"/>
            </w:tcBorders>
            <w:shd w:val="clear" w:color="auto" w:fill="auto"/>
            <w:noWrap/>
            <w:hideMark/>
          </w:tcPr>
          <w:p w14:paraId="043EEA9C" w14:textId="5161BFFE" w:rsidR="00460031" w:rsidRPr="00E63641" w:rsidRDefault="00460031" w:rsidP="00525D3A">
            <w:pPr>
              <w:pStyle w:val="TableText"/>
              <w:ind w:right="340"/>
              <w:jc w:val="right"/>
              <w:rPr>
                <w:lang w:eastAsia="en-GB"/>
              </w:rPr>
            </w:pPr>
            <w:r w:rsidRPr="00F55D5C">
              <w:t>54</w:t>
            </w:r>
            <w:r w:rsidR="0012796C">
              <w:t>7</w:t>
            </w:r>
          </w:p>
        </w:tc>
        <w:tc>
          <w:tcPr>
            <w:tcW w:w="1559" w:type="dxa"/>
            <w:tcBorders>
              <w:top w:val="nil"/>
              <w:left w:val="dashed" w:sz="8" w:space="0" w:color="auto"/>
              <w:bottom w:val="nil"/>
              <w:right w:val="dashed" w:sz="8" w:space="0" w:color="auto"/>
            </w:tcBorders>
            <w:shd w:val="clear" w:color="auto" w:fill="auto"/>
            <w:noWrap/>
            <w:hideMark/>
          </w:tcPr>
          <w:p w14:paraId="7CBB18B1" w14:textId="5B59E6EF" w:rsidR="00460031" w:rsidRPr="00E63641" w:rsidRDefault="00460031" w:rsidP="00525D3A">
            <w:pPr>
              <w:pStyle w:val="TableText"/>
              <w:ind w:right="340"/>
              <w:jc w:val="right"/>
              <w:rPr>
                <w:lang w:eastAsia="en-GB"/>
              </w:rPr>
            </w:pPr>
            <w:r w:rsidRPr="00F55D5C">
              <w:t>154</w:t>
            </w:r>
          </w:p>
        </w:tc>
        <w:tc>
          <w:tcPr>
            <w:tcW w:w="1276" w:type="dxa"/>
            <w:tcBorders>
              <w:top w:val="nil"/>
              <w:left w:val="dashed" w:sz="8" w:space="0" w:color="auto"/>
              <w:bottom w:val="nil"/>
              <w:right w:val="nil"/>
            </w:tcBorders>
            <w:shd w:val="clear" w:color="auto" w:fill="auto"/>
            <w:noWrap/>
            <w:hideMark/>
          </w:tcPr>
          <w:p w14:paraId="30AF3D15" w14:textId="6D68D9AE" w:rsidR="00460031" w:rsidRPr="00E63641" w:rsidRDefault="00460031" w:rsidP="00525D3A">
            <w:pPr>
              <w:pStyle w:val="TableText"/>
              <w:ind w:right="227"/>
              <w:jc w:val="right"/>
              <w:rPr>
                <w:lang w:eastAsia="en-GB"/>
              </w:rPr>
            </w:pPr>
            <w:r w:rsidRPr="00F55D5C">
              <w:t>77</w:t>
            </w:r>
            <w:r w:rsidR="0012796C">
              <w:t>5</w:t>
            </w:r>
          </w:p>
        </w:tc>
      </w:tr>
      <w:tr w:rsidR="00460031" w:rsidRPr="00E63641" w14:paraId="73F79D35" w14:textId="77777777" w:rsidTr="00FA537C">
        <w:trPr>
          <w:trHeight w:val="300"/>
        </w:trPr>
        <w:tc>
          <w:tcPr>
            <w:tcW w:w="2127" w:type="dxa"/>
            <w:tcBorders>
              <w:top w:val="nil"/>
              <w:left w:val="nil"/>
              <w:bottom w:val="nil"/>
              <w:right w:val="nil"/>
            </w:tcBorders>
            <w:shd w:val="clear" w:color="auto" w:fill="auto"/>
            <w:noWrap/>
            <w:vAlign w:val="center"/>
            <w:hideMark/>
          </w:tcPr>
          <w:p w14:paraId="6897013C" w14:textId="77777777" w:rsidR="00460031" w:rsidRPr="00BA595B" w:rsidRDefault="00460031" w:rsidP="00525D3A">
            <w:pPr>
              <w:pStyle w:val="TableText"/>
              <w:rPr>
                <w:i/>
                <w:iCs/>
                <w:lang w:eastAsia="en-GB"/>
              </w:rPr>
            </w:pPr>
            <w:r w:rsidRPr="00BA595B">
              <w:rPr>
                <w:i/>
                <w:iCs/>
                <w:lang w:eastAsia="en-GB"/>
              </w:rPr>
              <w:t>Hospice</w:t>
            </w:r>
          </w:p>
        </w:tc>
        <w:tc>
          <w:tcPr>
            <w:tcW w:w="1276" w:type="dxa"/>
            <w:tcBorders>
              <w:top w:val="nil"/>
              <w:left w:val="nil"/>
              <w:bottom w:val="nil"/>
              <w:right w:val="nil"/>
            </w:tcBorders>
            <w:shd w:val="clear" w:color="auto" w:fill="auto"/>
            <w:noWrap/>
            <w:hideMark/>
          </w:tcPr>
          <w:p w14:paraId="04174845" w14:textId="4828E318" w:rsidR="00460031" w:rsidRPr="00E63641" w:rsidRDefault="00460031" w:rsidP="00525D3A">
            <w:pPr>
              <w:pStyle w:val="TableText"/>
              <w:ind w:right="340"/>
              <w:jc w:val="right"/>
              <w:rPr>
                <w:lang w:eastAsia="en-GB"/>
              </w:rPr>
            </w:pPr>
            <w:r w:rsidRPr="00F55D5C">
              <w:t>12</w:t>
            </w:r>
            <w:r w:rsidR="0012796C">
              <w:t>8</w:t>
            </w:r>
          </w:p>
        </w:tc>
        <w:tc>
          <w:tcPr>
            <w:tcW w:w="1417" w:type="dxa"/>
            <w:tcBorders>
              <w:top w:val="nil"/>
              <w:left w:val="nil"/>
              <w:bottom w:val="nil"/>
              <w:right w:val="nil"/>
            </w:tcBorders>
            <w:shd w:val="clear" w:color="auto" w:fill="auto"/>
            <w:noWrap/>
            <w:hideMark/>
          </w:tcPr>
          <w:p w14:paraId="0C3C4102" w14:textId="6A3FE286" w:rsidR="00460031" w:rsidRPr="00E63641" w:rsidRDefault="00460031" w:rsidP="00525D3A">
            <w:pPr>
              <w:pStyle w:val="TableText"/>
              <w:ind w:right="340"/>
              <w:jc w:val="right"/>
              <w:rPr>
                <w:lang w:eastAsia="en-GB"/>
              </w:rPr>
            </w:pPr>
            <w:r w:rsidRPr="00F55D5C">
              <w:t>1</w:t>
            </w:r>
          </w:p>
        </w:tc>
        <w:tc>
          <w:tcPr>
            <w:tcW w:w="1418" w:type="dxa"/>
            <w:tcBorders>
              <w:top w:val="nil"/>
              <w:left w:val="nil"/>
              <w:bottom w:val="nil"/>
              <w:right w:val="dashed" w:sz="8" w:space="0" w:color="auto"/>
            </w:tcBorders>
            <w:shd w:val="clear" w:color="auto" w:fill="auto"/>
            <w:noWrap/>
            <w:hideMark/>
          </w:tcPr>
          <w:p w14:paraId="7E969734" w14:textId="10D1C0EF" w:rsidR="00460031" w:rsidRPr="00E63641" w:rsidRDefault="00460031" w:rsidP="00525D3A">
            <w:pPr>
              <w:pStyle w:val="TableText"/>
              <w:ind w:right="340"/>
              <w:jc w:val="right"/>
              <w:rPr>
                <w:lang w:eastAsia="en-GB"/>
              </w:rPr>
            </w:pPr>
            <w:r w:rsidRPr="00F55D5C">
              <w:t>0</w:t>
            </w:r>
          </w:p>
        </w:tc>
        <w:tc>
          <w:tcPr>
            <w:tcW w:w="1559" w:type="dxa"/>
            <w:tcBorders>
              <w:top w:val="nil"/>
              <w:left w:val="dashed" w:sz="8" w:space="0" w:color="auto"/>
              <w:bottom w:val="nil"/>
              <w:right w:val="dashed" w:sz="8" w:space="0" w:color="auto"/>
            </w:tcBorders>
            <w:shd w:val="clear" w:color="auto" w:fill="auto"/>
            <w:noWrap/>
            <w:hideMark/>
          </w:tcPr>
          <w:p w14:paraId="7233AFE8" w14:textId="01E4EB70" w:rsidR="00460031" w:rsidRPr="00E63641" w:rsidRDefault="00460031" w:rsidP="00525D3A">
            <w:pPr>
              <w:pStyle w:val="TableText"/>
              <w:ind w:right="340"/>
              <w:jc w:val="right"/>
              <w:rPr>
                <w:lang w:eastAsia="en-GB"/>
              </w:rPr>
            </w:pPr>
            <w:r w:rsidRPr="00F55D5C">
              <w:t>0</w:t>
            </w:r>
          </w:p>
        </w:tc>
        <w:tc>
          <w:tcPr>
            <w:tcW w:w="1276" w:type="dxa"/>
            <w:tcBorders>
              <w:top w:val="nil"/>
              <w:left w:val="dashed" w:sz="8" w:space="0" w:color="auto"/>
              <w:bottom w:val="nil"/>
              <w:right w:val="nil"/>
            </w:tcBorders>
            <w:shd w:val="clear" w:color="auto" w:fill="auto"/>
            <w:noWrap/>
            <w:hideMark/>
          </w:tcPr>
          <w:p w14:paraId="43F04799" w14:textId="7724703E" w:rsidR="00460031" w:rsidRPr="00E63641" w:rsidRDefault="00460031" w:rsidP="00525D3A">
            <w:pPr>
              <w:pStyle w:val="TableText"/>
              <w:ind w:right="227"/>
              <w:jc w:val="right"/>
              <w:rPr>
                <w:lang w:eastAsia="en-GB"/>
              </w:rPr>
            </w:pPr>
            <w:r w:rsidRPr="00F55D5C">
              <w:t>12</w:t>
            </w:r>
            <w:r w:rsidR="0012796C">
              <w:t>9</w:t>
            </w:r>
          </w:p>
        </w:tc>
      </w:tr>
      <w:tr w:rsidR="00460031" w:rsidRPr="00E63641" w14:paraId="15AD2660" w14:textId="77777777" w:rsidTr="00FA537C">
        <w:trPr>
          <w:trHeight w:val="300"/>
        </w:trPr>
        <w:tc>
          <w:tcPr>
            <w:tcW w:w="2127" w:type="dxa"/>
            <w:tcBorders>
              <w:top w:val="nil"/>
              <w:left w:val="nil"/>
              <w:right w:val="nil"/>
            </w:tcBorders>
            <w:shd w:val="clear" w:color="auto" w:fill="auto"/>
            <w:noWrap/>
            <w:vAlign w:val="center"/>
            <w:hideMark/>
          </w:tcPr>
          <w:p w14:paraId="7D56F848" w14:textId="1A2EDF23" w:rsidR="00460031" w:rsidRPr="00BA595B" w:rsidRDefault="00460031" w:rsidP="00525D3A">
            <w:pPr>
              <w:pStyle w:val="TableText"/>
              <w:rPr>
                <w:i/>
                <w:iCs/>
                <w:lang w:eastAsia="en-GB"/>
              </w:rPr>
            </w:pPr>
            <w:r>
              <w:rPr>
                <w:i/>
                <w:iCs/>
                <w:lang w:eastAsia="en-GB"/>
              </w:rPr>
              <w:t>Categorised</w:t>
            </w:r>
            <w:r w:rsidRPr="00BA595B">
              <w:rPr>
                <w:i/>
                <w:iCs/>
                <w:lang w:eastAsia="en-GB"/>
              </w:rPr>
              <w:t xml:space="preserve"> Other</w:t>
            </w:r>
            <w:r>
              <w:rPr>
                <w:rFonts w:cs="Times New Roman"/>
                <w:i/>
                <w:iCs/>
                <w:lang w:eastAsia="en-GB"/>
              </w:rPr>
              <w:t>††</w:t>
            </w:r>
          </w:p>
        </w:tc>
        <w:tc>
          <w:tcPr>
            <w:tcW w:w="1276" w:type="dxa"/>
            <w:tcBorders>
              <w:top w:val="nil"/>
              <w:left w:val="nil"/>
              <w:right w:val="nil"/>
            </w:tcBorders>
            <w:shd w:val="clear" w:color="auto" w:fill="auto"/>
            <w:noWrap/>
            <w:hideMark/>
          </w:tcPr>
          <w:p w14:paraId="0C7FD014" w14:textId="278C6264" w:rsidR="00460031" w:rsidRPr="00E63641" w:rsidRDefault="00460031" w:rsidP="00525D3A">
            <w:pPr>
              <w:pStyle w:val="TableText"/>
              <w:ind w:right="340"/>
              <w:jc w:val="right"/>
              <w:rPr>
                <w:lang w:eastAsia="en-GB"/>
              </w:rPr>
            </w:pPr>
            <w:r w:rsidRPr="00F55D5C">
              <w:t>3</w:t>
            </w:r>
          </w:p>
        </w:tc>
        <w:tc>
          <w:tcPr>
            <w:tcW w:w="1417" w:type="dxa"/>
            <w:tcBorders>
              <w:top w:val="nil"/>
              <w:left w:val="nil"/>
              <w:right w:val="nil"/>
            </w:tcBorders>
            <w:shd w:val="clear" w:color="auto" w:fill="auto"/>
            <w:noWrap/>
            <w:hideMark/>
          </w:tcPr>
          <w:p w14:paraId="1E5E54BA" w14:textId="64D1DB70" w:rsidR="00460031" w:rsidRPr="00E63641" w:rsidRDefault="00460031" w:rsidP="00525D3A">
            <w:pPr>
              <w:pStyle w:val="TableText"/>
              <w:ind w:right="340"/>
              <w:jc w:val="right"/>
              <w:rPr>
                <w:lang w:eastAsia="en-GB"/>
              </w:rPr>
            </w:pPr>
            <w:r w:rsidRPr="00F55D5C">
              <w:t>3</w:t>
            </w:r>
          </w:p>
        </w:tc>
        <w:tc>
          <w:tcPr>
            <w:tcW w:w="1418" w:type="dxa"/>
            <w:tcBorders>
              <w:top w:val="nil"/>
              <w:left w:val="nil"/>
              <w:right w:val="dashed" w:sz="8" w:space="0" w:color="auto"/>
            </w:tcBorders>
            <w:shd w:val="clear" w:color="auto" w:fill="auto"/>
            <w:noWrap/>
            <w:hideMark/>
          </w:tcPr>
          <w:p w14:paraId="23E525A9" w14:textId="5BBD47AA" w:rsidR="00460031" w:rsidRPr="00E63641" w:rsidRDefault="00460031" w:rsidP="00525D3A">
            <w:pPr>
              <w:pStyle w:val="TableText"/>
              <w:ind w:right="340"/>
              <w:jc w:val="right"/>
              <w:rPr>
                <w:lang w:eastAsia="en-GB"/>
              </w:rPr>
            </w:pPr>
            <w:r w:rsidRPr="00F55D5C">
              <w:t>44</w:t>
            </w:r>
          </w:p>
        </w:tc>
        <w:tc>
          <w:tcPr>
            <w:tcW w:w="1559" w:type="dxa"/>
            <w:tcBorders>
              <w:top w:val="nil"/>
              <w:left w:val="dashed" w:sz="8" w:space="0" w:color="auto"/>
              <w:right w:val="dashed" w:sz="8" w:space="0" w:color="auto"/>
            </w:tcBorders>
            <w:shd w:val="clear" w:color="auto" w:fill="auto"/>
            <w:noWrap/>
            <w:hideMark/>
          </w:tcPr>
          <w:p w14:paraId="28E27FD0" w14:textId="68CDE9B5" w:rsidR="00460031" w:rsidRPr="00E63641" w:rsidRDefault="00460031" w:rsidP="00525D3A">
            <w:pPr>
              <w:pStyle w:val="TableText"/>
              <w:ind w:right="340"/>
              <w:jc w:val="right"/>
              <w:rPr>
                <w:lang w:eastAsia="en-GB"/>
              </w:rPr>
            </w:pPr>
            <w:r w:rsidRPr="00F55D5C">
              <w:t>113</w:t>
            </w:r>
          </w:p>
        </w:tc>
        <w:tc>
          <w:tcPr>
            <w:tcW w:w="1276" w:type="dxa"/>
            <w:tcBorders>
              <w:top w:val="nil"/>
              <w:left w:val="dashed" w:sz="8" w:space="0" w:color="auto"/>
              <w:right w:val="nil"/>
            </w:tcBorders>
            <w:shd w:val="clear" w:color="auto" w:fill="auto"/>
            <w:noWrap/>
            <w:hideMark/>
          </w:tcPr>
          <w:p w14:paraId="144E29FA" w14:textId="0DEE17C8" w:rsidR="00460031" w:rsidRPr="00E63641" w:rsidRDefault="00460031" w:rsidP="00525D3A">
            <w:pPr>
              <w:pStyle w:val="TableText"/>
              <w:ind w:right="227"/>
              <w:jc w:val="right"/>
              <w:rPr>
                <w:lang w:eastAsia="en-GB"/>
              </w:rPr>
            </w:pPr>
            <w:r w:rsidRPr="00F55D5C">
              <w:t>163</w:t>
            </w:r>
          </w:p>
        </w:tc>
      </w:tr>
      <w:tr w:rsidR="00460031" w:rsidRPr="00E63641" w14:paraId="29B6EEF5" w14:textId="77777777" w:rsidTr="00FA537C">
        <w:trPr>
          <w:trHeight w:val="300"/>
        </w:trPr>
        <w:tc>
          <w:tcPr>
            <w:tcW w:w="2127" w:type="dxa"/>
            <w:tcBorders>
              <w:top w:val="nil"/>
              <w:left w:val="nil"/>
              <w:bottom w:val="single" w:sz="4" w:space="0" w:color="auto"/>
              <w:right w:val="nil"/>
            </w:tcBorders>
            <w:shd w:val="clear" w:color="auto" w:fill="auto"/>
            <w:noWrap/>
            <w:vAlign w:val="center"/>
            <w:hideMark/>
          </w:tcPr>
          <w:p w14:paraId="2EA60073" w14:textId="4BB62173" w:rsidR="00460031" w:rsidRPr="00BA595B" w:rsidRDefault="00460031" w:rsidP="00525D3A">
            <w:pPr>
              <w:pStyle w:val="TableText"/>
              <w:rPr>
                <w:i/>
                <w:iCs/>
                <w:lang w:eastAsia="en-GB"/>
              </w:rPr>
            </w:pPr>
            <w:r w:rsidRPr="00BA595B">
              <w:rPr>
                <w:i/>
                <w:iCs/>
                <w:lang w:eastAsia="en-GB"/>
              </w:rPr>
              <w:t>Other</w:t>
            </w:r>
          </w:p>
        </w:tc>
        <w:tc>
          <w:tcPr>
            <w:tcW w:w="1276" w:type="dxa"/>
            <w:tcBorders>
              <w:top w:val="nil"/>
              <w:left w:val="nil"/>
              <w:bottom w:val="single" w:sz="4" w:space="0" w:color="auto"/>
              <w:right w:val="nil"/>
            </w:tcBorders>
            <w:shd w:val="clear" w:color="auto" w:fill="auto"/>
            <w:noWrap/>
            <w:hideMark/>
          </w:tcPr>
          <w:p w14:paraId="316C11DF" w14:textId="16DE176F" w:rsidR="00460031" w:rsidRPr="00E63641" w:rsidRDefault="00460031" w:rsidP="00525D3A">
            <w:pPr>
              <w:pStyle w:val="TableText"/>
              <w:ind w:right="340"/>
              <w:jc w:val="right"/>
              <w:rPr>
                <w:lang w:eastAsia="en-GB"/>
              </w:rPr>
            </w:pPr>
            <w:r w:rsidRPr="00F55D5C">
              <w:t>53</w:t>
            </w:r>
            <w:r w:rsidR="0012796C">
              <w:t>5</w:t>
            </w:r>
          </w:p>
        </w:tc>
        <w:tc>
          <w:tcPr>
            <w:tcW w:w="1417" w:type="dxa"/>
            <w:tcBorders>
              <w:top w:val="nil"/>
              <w:left w:val="nil"/>
              <w:bottom w:val="single" w:sz="4" w:space="0" w:color="auto"/>
              <w:right w:val="nil"/>
            </w:tcBorders>
            <w:shd w:val="clear" w:color="auto" w:fill="auto"/>
            <w:noWrap/>
            <w:hideMark/>
          </w:tcPr>
          <w:p w14:paraId="19F6668A" w14:textId="3E5DDE95" w:rsidR="00460031" w:rsidRPr="00E63641" w:rsidRDefault="00460031" w:rsidP="00525D3A">
            <w:pPr>
              <w:pStyle w:val="TableText"/>
              <w:ind w:right="340"/>
              <w:jc w:val="right"/>
              <w:rPr>
                <w:lang w:eastAsia="en-GB"/>
              </w:rPr>
            </w:pPr>
            <w:r w:rsidRPr="00F55D5C">
              <w:t>67</w:t>
            </w:r>
          </w:p>
        </w:tc>
        <w:tc>
          <w:tcPr>
            <w:tcW w:w="1418" w:type="dxa"/>
            <w:tcBorders>
              <w:top w:val="nil"/>
              <w:left w:val="nil"/>
              <w:bottom w:val="single" w:sz="4" w:space="0" w:color="auto"/>
              <w:right w:val="dashed" w:sz="8" w:space="0" w:color="auto"/>
            </w:tcBorders>
            <w:shd w:val="clear" w:color="auto" w:fill="auto"/>
            <w:noWrap/>
            <w:hideMark/>
          </w:tcPr>
          <w:p w14:paraId="1CC87D66" w14:textId="476B5A3F" w:rsidR="00460031" w:rsidRPr="00E63641" w:rsidRDefault="00460031" w:rsidP="00525D3A">
            <w:pPr>
              <w:pStyle w:val="TableText"/>
              <w:ind w:right="340"/>
              <w:jc w:val="right"/>
              <w:rPr>
                <w:lang w:eastAsia="en-GB"/>
              </w:rPr>
            </w:pPr>
            <w:r w:rsidRPr="00F55D5C">
              <w:t>1</w:t>
            </w:r>
            <w:r w:rsidR="0012796C">
              <w:t>,</w:t>
            </w:r>
            <w:r w:rsidRPr="00F55D5C">
              <w:t>6</w:t>
            </w:r>
            <w:r w:rsidR="0012796C">
              <w:t>67</w:t>
            </w:r>
          </w:p>
        </w:tc>
        <w:tc>
          <w:tcPr>
            <w:tcW w:w="1559" w:type="dxa"/>
            <w:tcBorders>
              <w:top w:val="nil"/>
              <w:left w:val="dashed" w:sz="8" w:space="0" w:color="auto"/>
              <w:bottom w:val="single" w:sz="4" w:space="0" w:color="auto"/>
              <w:right w:val="dashed" w:sz="8" w:space="0" w:color="auto"/>
            </w:tcBorders>
            <w:shd w:val="clear" w:color="auto" w:fill="auto"/>
            <w:noWrap/>
            <w:hideMark/>
          </w:tcPr>
          <w:p w14:paraId="527F6D8C" w14:textId="60183952" w:rsidR="00460031" w:rsidRPr="00460031" w:rsidRDefault="00460031" w:rsidP="00525D3A">
            <w:pPr>
              <w:pStyle w:val="TableText"/>
              <w:ind w:right="340"/>
              <w:jc w:val="right"/>
              <w:rPr>
                <w:b/>
                <w:bCs/>
                <w:i/>
                <w:iCs/>
                <w:lang w:eastAsia="en-GB"/>
              </w:rPr>
            </w:pPr>
            <w:r w:rsidRPr="00460031">
              <w:rPr>
                <w:b/>
                <w:bCs/>
              </w:rPr>
              <w:t>188</w:t>
            </w:r>
          </w:p>
        </w:tc>
        <w:tc>
          <w:tcPr>
            <w:tcW w:w="1276" w:type="dxa"/>
            <w:tcBorders>
              <w:top w:val="nil"/>
              <w:left w:val="dashed" w:sz="8" w:space="0" w:color="auto"/>
              <w:bottom w:val="single" w:sz="4" w:space="0" w:color="auto"/>
              <w:right w:val="nil"/>
            </w:tcBorders>
            <w:shd w:val="clear" w:color="auto" w:fill="auto"/>
            <w:noWrap/>
            <w:hideMark/>
          </w:tcPr>
          <w:p w14:paraId="7D9A763D" w14:textId="01EDD2BC" w:rsidR="00460031" w:rsidRPr="00E63641" w:rsidRDefault="00460031" w:rsidP="00525D3A">
            <w:pPr>
              <w:pStyle w:val="TableText"/>
              <w:ind w:right="227"/>
              <w:jc w:val="right"/>
              <w:rPr>
                <w:lang w:eastAsia="en-GB"/>
              </w:rPr>
            </w:pPr>
            <w:r w:rsidRPr="00F55D5C">
              <w:t>2</w:t>
            </w:r>
            <w:r w:rsidR="0012796C">
              <w:t>,</w:t>
            </w:r>
            <w:r w:rsidRPr="00F55D5C">
              <w:t>4</w:t>
            </w:r>
            <w:r w:rsidR="0012796C">
              <w:t>57</w:t>
            </w:r>
          </w:p>
        </w:tc>
      </w:tr>
      <w:tr w:rsidR="00460031" w:rsidRPr="00E63641" w14:paraId="62521EF3" w14:textId="77777777" w:rsidTr="00E85AC5">
        <w:trPr>
          <w:trHeight w:val="300"/>
        </w:trPr>
        <w:tc>
          <w:tcPr>
            <w:tcW w:w="2127" w:type="dxa"/>
            <w:tcBorders>
              <w:top w:val="single" w:sz="4" w:space="0" w:color="auto"/>
              <w:left w:val="nil"/>
              <w:bottom w:val="single" w:sz="4" w:space="0" w:color="auto"/>
              <w:right w:val="nil"/>
            </w:tcBorders>
            <w:shd w:val="clear" w:color="auto" w:fill="auto"/>
            <w:noWrap/>
            <w:vAlign w:val="bottom"/>
            <w:hideMark/>
          </w:tcPr>
          <w:p w14:paraId="69F9FCF3" w14:textId="77777777" w:rsidR="00460031" w:rsidRPr="00E63641" w:rsidRDefault="00460031" w:rsidP="00525D3A">
            <w:pPr>
              <w:pStyle w:val="TableText"/>
              <w:rPr>
                <w:lang w:eastAsia="en-GB"/>
              </w:rPr>
            </w:pPr>
          </w:p>
        </w:tc>
        <w:tc>
          <w:tcPr>
            <w:tcW w:w="1276" w:type="dxa"/>
            <w:tcBorders>
              <w:top w:val="single" w:sz="4" w:space="0" w:color="auto"/>
              <w:left w:val="nil"/>
              <w:bottom w:val="single" w:sz="4" w:space="0" w:color="auto"/>
              <w:right w:val="nil"/>
            </w:tcBorders>
            <w:shd w:val="clear" w:color="auto" w:fill="auto"/>
            <w:noWrap/>
            <w:hideMark/>
          </w:tcPr>
          <w:p w14:paraId="3669EF36" w14:textId="3815DAD9" w:rsidR="00460031" w:rsidRPr="00E63641" w:rsidRDefault="00460031" w:rsidP="00525D3A">
            <w:pPr>
              <w:pStyle w:val="TableText"/>
              <w:ind w:right="340"/>
              <w:jc w:val="right"/>
              <w:rPr>
                <w:rFonts w:cs="Times New Roman"/>
                <w:sz w:val="20"/>
                <w:szCs w:val="20"/>
                <w:lang w:eastAsia="en-GB"/>
              </w:rPr>
            </w:pPr>
            <w:r w:rsidRPr="00F55D5C">
              <w:t>7</w:t>
            </w:r>
            <w:r w:rsidR="0012796C">
              <w:t>36</w:t>
            </w:r>
          </w:p>
        </w:tc>
        <w:tc>
          <w:tcPr>
            <w:tcW w:w="1417" w:type="dxa"/>
            <w:tcBorders>
              <w:top w:val="single" w:sz="4" w:space="0" w:color="auto"/>
              <w:left w:val="nil"/>
              <w:bottom w:val="single" w:sz="4" w:space="0" w:color="auto"/>
              <w:right w:val="nil"/>
            </w:tcBorders>
            <w:shd w:val="clear" w:color="auto" w:fill="auto"/>
            <w:noWrap/>
            <w:hideMark/>
          </w:tcPr>
          <w:p w14:paraId="190ACAE7" w14:textId="260EEB65" w:rsidR="00460031" w:rsidRPr="00E63641" w:rsidRDefault="00460031" w:rsidP="00525D3A">
            <w:pPr>
              <w:pStyle w:val="TableText"/>
              <w:ind w:right="340"/>
              <w:jc w:val="right"/>
              <w:rPr>
                <w:rFonts w:cs="Times New Roman"/>
                <w:sz w:val="20"/>
                <w:szCs w:val="20"/>
                <w:lang w:eastAsia="en-GB"/>
              </w:rPr>
            </w:pPr>
            <w:r w:rsidRPr="00F55D5C">
              <w:t>81</w:t>
            </w:r>
          </w:p>
        </w:tc>
        <w:tc>
          <w:tcPr>
            <w:tcW w:w="1418" w:type="dxa"/>
            <w:tcBorders>
              <w:top w:val="single" w:sz="4" w:space="0" w:color="auto"/>
              <w:left w:val="nil"/>
              <w:bottom w:val="single" w:sz="4" w:space="0" w:color="auto"/>
              <w:right w:val="nil"/>
            </w:tcBorders>
            <w:shd w:val="clear" w:color="auto" w:fill="auto"/>
            <w:noWrap/>
            <w:hideMark/>
          </w:tcPr>
          <w:p w14:paraId="4E16C30E" w14:textId="7C720723" w:rsidR="00460031" w:rsidRPr="00E63641" w:rsidRDefault="00460031" w:rsidP="00525D3A">
            <w:pPr>
              <w:pStyle w:val="TableText"/>
              <w:ind w:right="340"/>
              <w:jc w:val="right"/>
              <w:rPr>
                <w:rFonts w:cs="Times New Roman"/>
                <w:sz w:val="20"/>
                <w:szCs w:val="20"/>
                <w:lang w:eastAsia="en-GB"/>
              </w:rPr>
            </w:pPr>
            <w:r w:rsidRPr="00F55D5C">
              <w:t>2</w:t>
            </w:r>
            <w:r w:rsidR="0012796C">
              <w:t>,</w:t>
            </w:r>
            <w:r w:rsidRPr="00F55D5C">
              <w:t>5</w:t>
            </w:r>
            <w:r w:rsidR="0012796C">
              <w:t>81</w:t>
            </w:r>
          </w:p>
        </w:tc>
        <w:tc>
          <w:tcPr>
            <w:tcW w:w="1559" w:type="dxa"/>
            <w:tcBorders>
              <w:top w:val="single" w:sz="4" w:space="0" w:color="auto"/>
              <w:left w:val="nil"/>
              <w:bottom w:val="single" w:sz="4" w:space="0" w:color="auto"/>
              <w:right w:val="nil"/>
            </w:tcBorders>
            <w:shd w:val="clear" w:color="auto" w:fill="auto"/>
            <w:noWrap/>
            <w:hideMark/>
          </w:tcPr>
          <w:p w14:paraId="5A45C055" w14:textId="43EACBCA" w:rsidR="00460031" w:rsidRPr="00E63641" w:rsidRDefault="00460031" w:rsidP="00525D3A">
            <w:pPr>
              <w:pStyle w:val="TableText"/>
              <w:ind w:right="340"/>
              <w:jc w:val="right"/>
              <w:rPr>
                <w:rFonts w:cs="Times New Roman"/>
                <w:sz w:val="20"/>
                <w:szCs w:val="20"/>
                <w:lang w:eastAsia="en-GB"/>
              </w:rPr>
            </w:pPr>
            <w:r w:rsidRPr="00F55D5C">
              <w:t>7</w:t>
            </w:r>
            <w:r w:rsidR="0012796C">
              <w:t>,164</w:t>
            </w:r>
          </w:p>
        </w:tc>
        <w:tc>
          <w:tcPr>
            <w:tcW w:w="1276" w:type="dxa"/>
            <w:tcBorders>
              <w:top w:val="single" w:sz="4" w:space="0" w:color="auto"/>
              <w:left w:val="nil"/>
              <w:bottom w:val="single" w:sz="4" w:space="0" w:color="auto"/>
              <w:right w:val="nil"/>
            </w:tcBorders>
            <w:shd w:val="clear" w:color="auto" w:fill="auto"/>
            <w:noWrap/>
            <w:hideMark/>
          </w:tcPr>
          <w:p w14:paraId="40F06B53" w14:textId="1BBA2967" w:rsidR="00460031" w:rsidRPr="00E63641" w:rsidRDefault="00460031" w:rsidP="00525D3A">
            <w:pPr>
              <w:pStyle w:val="TableText"/>
              <w:ind w:right="227"/>
              <w:jc w:val="right"/>
              <w:rPr>
                <w:lang w:eastAsia="en-GB"/>
              </w:rPr>
            </w:pPr>
            <w:r w:rsidRPr="00F55D5C">
              <w:t>10</w:t>
            </w:r>
            <w:r w:rsidR="0012796C">
              <w:t>,562</w:t>
            </w:r>
          </w:p>
        </w:tc>
      </w:tr>
    </w:tbl>
    <w:p w14:paraId="51B626DC" w14:textId="1322996F" w:rsidR="00E85AC5" w:rsidRPr="00525D3A" w:rsidRDefault="00E85AC5" w:rsidP="00525D3A">
      <w:pPr>
        <w:pStyle w:val="TableFootnote"/>
        <w:keepNext/>
        <w:rPr>
          <w:sz w:val="20"/>
          <w:szCs w:val="20"/>
        </w:rPr>
      </w:pPr>
      <w:r w:rsidRPr="00525D3A">
        <w:rPr>
          <w:sz w:val="20"/>
          <w:szCs w:val="20"/>
        </w:rPr>
        <w:t>†</w:t>
      </w:r>
      <w:r w:rsidRPr="00525D3A">
        <w:rPr>
          <w:sz w:val="20"/>
          <w:szCs w:val="20"/>
        </w:rPr>
        <w:tab/>
        <w:t xml:space="preserve">Two NHS organisations are listed as Private Limited Companies. NHS Property Services is wholly owned by the Department of Health, whilst NHS Shared Business Services is a joint venture between the </w:t>
      </w:r>
      <w:proofErr w:type="spellStart"/>
      <w:r w:rsidRPr="00525D3A">
        <w:rPr>
          <w:sz w:val="20"/>
          <w:szCs w:val="20"/>
        </w:rPr>
        <w:t>DoH</w:t>
      </w:r>
      <w:proofErr w:type="spellEnd"/>
      <w:r w:rsidRPr="00525D3A">
        <w:rPr>
          <w:sz w:val="20"/>
          <w:szCs w:val="20"/>
        </w:rPr>
        <w:t xml:space="preserve"> and French IT firm Sopra Steria. </w:t>
      </w:r>
    </w:p>
    <w:p w14:paraId="6C920F41" w14:textId="4647F606" w:rsidR="00112749" w:rsidRPr="00525D3A" w:rsidRDefault="00E85AC5" w:rsidP="00525D3A">
      <w:pPr>
        <w:pStyle w:val="TableFootnote"/>
        <w:keepLines/>
        <w:rPr>
          <w:sz w:val="20"/>
          <w:szCs w:val="20"/>
        </w:rPr>
      </w:pPr>
      <w:r w:rsidRPr="00525D3A">
        <w:rPr>
          <w:sz w:val="20"/>
          <w:szCs w:val="20"/>
        </w:rPr>
        <w:t>††</w:t>
      </w:r>
      <w:r w:rsidR="00BA595B" w:rsidRPr="00525D3A">
        <w:rPr>
          <w:sz w:val="20"/>
          <w:szCs w:val="20"/>
        </w:rPr>
        <w:t xml:space="preserve"> </w:t>
      </w:r>
      <w:r w:rsidR="00BA595B" w:rsidRPr="00525D3A">
        <w:rPr>
          <w:sz w:val="20"/>
          <w:szCs w:val="20"/>
        </w:rPr>
        <w:tab/>
      </w:r>
      <w:r w:rsidR="003E31C5" w:rsidRPr="00525D3A">
        <w:rPr>
          <w:sz w:val="20"/>
          <w:szCs w:val="20"/>
        </w:rPr>
        <w:t>“Categorised</w:t>
      </w:r>
      <w:r w:rsidR="00BA595B" w:rsidRPr="00525D3A">
        <w:rPr>
          <w:sz w:val="20"/>
          <w:szCs w:val="20"/>
        </w:rPr>
        <w:t xml:space="preserve"> Other</w:t>
      </w:r>
      <w:r w:rsidR="003E31C5" w:rsidRPr="00525D3A">
        <w:rPr>
          <w:sz w:val="20"/>
          <w:szCs w:val="20"/>
        </w:rPr>
        <w:t>”</w:t>
      </w:r>
      <w:r w:rsidR="00BA595B" w:rsidRPr="00525D3A">
        <w:rPr>
          <w:sz w:val="20"/>
          <w:szCs w:val="20"/>
        </w:rPr>
        <w:t xml:space="preserve"> comprises </w:t>
      </w:r>
      <w:r w:rsidR="00D72C6E" w:rsidRPr="00525D3A">
        <w:rPr>
          <w:sz w:val="20"/>
          <w:szCs w:val="20"/>
        </w:rPr>
        <w:t xml:space="preserve">Government (incl. </w:t>
      </w:r>
      <w:r w:rsidR="00BA595B" w:rsidRPr="00525D3A">
        <w:rPr>
          <w:sz w:val="20"/>
          <w:szCs w:val="20"/>
        </w:rPr>
        <w:t>HMRC, Police</w:t>
      </w:r>
      <w:r w:rsidR="00D72C6E" w:rsidRPr="00525D3A">
        <w:rPr>
          <w:sz w:val="20"/>
          <w:szCs w:val="20"/>
        </w:rPr>
        <w:t xml:space="preserve"> &amp; </w:t>
      </w:r>
      <w:r w:rsidR="00BA595B" w:rsidRPr="00525D3A">
        <w:rPr>
          <w:sz w:val="20"/>
          <w:szCs w:val="20"/>
        </w:rPr>
        <w:t>Fire Services,</w:t>
      </w:r>
      <w:r w:rsidR="00D72C6E" w:rsidRPr="00525D3A">
        <w:rPr>
          <w:sz w:val="20"/>
          <w:szCs w:val="20"/>
        </w:rPr>
        <w:t xml:space="preserve"> etc), </w:t>
      </w:r>
      <w:r w:rsidR="00BA595B" w:rsidRPr="00525D3A">
        <w:rPr>
          <w:sz w:val="20"/>
          <w:szCs w:val="20"/>
        </w:rPr>
        <w:t xml:space="preserve"> Solicitors and Executors, Pharmacies and Opticians, Universities</w:t>
      </w:r>
      <w:r w:rsidR="00DD4BD1" w:rsidRPr="00525D3A">
        <w:rPr>
          <w:sz w:val="20"/>
          <w:szCs w:val="20"/>
        </w:rPr>
        <w:t>,</w:t>
      </w:r>
      <w:r w:rsidR="00BA595B" w:rsidRPr="00525D3A">
        <w:rPr>
          <w:sz w:val="20"/>
          <w:szCs w:val="20"/>
        </w:rPr>
        <w:t xml:space="preserve"> Schools</w:t>
      </w:r>
      <w:r w:rsidR="00DD4BD1" w:rsidRPr="00525D3A">
        <w:rPr>
          <w:sz w:val="20"/>
          <w:szCs w:val="20"/>
        </w:rPr>
        <w:t xml:space="preserve"> and Local Medical and Pharmaceutical Committees.</w:t>
      </w:r>
    </w:p>
    <w:p w14:paraId="24C47D7E" w14:textId="77777777" w:rsidR="003E31C5" w:rsidRDefault="003E31C5" w:rsidP="00FF26F5">
      <w:pPr>
        <w:pStyle w:val="AfterTableGap"/>
      </w:pPr>
    </w:p>
    <w:p w14:paraId="6D989FD8" w14:textId="0209692E" w:rsidR="00BA595B" w:rsidRDefault="00BA595B" w:rsidP="00BA595B">
      <w:pPr>
        <w:pStyle w:val="TableCaption"/>
      </w:pPr>
      <w:bookmarkStart w:id="26" w:name="_Ref123171242"/>
      <w:bookmarkStart w:id="27" w:name="_Toc127795215"/>
      <w:r>
        <w:lastRenderedPageBreak/>
        <w:t xml:space="preserve">Table </w:t>
      </w:r>
      <w:fldSimple w:instr=" SEQ Table \* ARABIC ">
        <w:r w:rsidR="00842C06">
          <w:rPr>
            <w:noProof/>
          </w:rPr>
          <w:t>4</w:t>
        </w:r>
      </w:fldSimple>
      <w:bookmarkEnd w:id="26"/>
      <w:r>
        <w:t xml:space="preserve">: Expenditure </w:t>
      </w:r>
      <w:r w:rsidR="003E31C5">
        <w:t xml:space="preserve">(£millions) </w:t>
      </w:r>
      <w:r>
        <w:t>on</w:t>
      </w:r>
      <w:r w:rsidRPr="00D711D1">
        <w:t xml:space="preserve"> suppliers by category and CC/CH Registration</w:t>
      </w:r>
      <w:bookmarkEnd w:id="27"/>
    </w:p>
    <w:tbl>
      <w:tblPr>
        <w:tblW w:w="9113" w:type="dxa"/>
        <w:tblLayout w:type="fixed"/>
        <w:tblLook w:val="04A0" w:firstRow="1" w:lastRow="0" w:firstColumn="1" w:lastColumn="0" w:noHBand="0" w:noVBand="1"/>
      </w:tblPr>
      <w:tblGrid>
        <w:gridCol w:w="2127"/>
        <w:gridCol w:w="1388"/>
        <w:gridCol w:w="1388"/>
        <w:gridCol w:w="1388"/>
        <w:gridCol w:w="1506"/>
        <w:gridCol w:w="1316"/>
      </w:tblGrid>
      <w:tr w:rsidR="00F51C95" w:rsidRPr="00E63641" w14:paraId="5D34E163" w14:textId="77777777" w:rsidTr="00460031">
        <w:trPr>
          <w:trHeight w:val="300"/>
        </w:trPr>
        <w:tc>
          <w:tcPr>
            <w:tcW w:w="2127" w:type="dxa"/>
            <w:tcBorders>
              <w:top w:val="nil"/>
              <w:left w:val="nil"/>
              <w:right w:val="nil"/>
            </w:tcBorders>
            <w:shd w:val="clear" w:color="auto" w:fill="auto"/>
            <w:noWrap/>
            <w:vAlign w:val="bottom"/>
            <w:hideMark/>
          </w:tcPr>
          <w:p w14:paraId="2BDC63B8" w14:textId="7291B4BC" w:rsidR="00F51C95" w:rsidRPr="00BA595B" w:rsidRDefault="00F51C95" w:rsidP="00BA595B">
            <w:pPr>
              <w:pStyle w:val="TableText"/>
              <w:rPr>
                <w:i/>
                <w:iCs/>
                <w:lang w:eastAsia="en-GB"/>
              </w:rPr>
            </w:pPr>
          </w:p>
        </w:tc>
        <w:tc>
          <w:tcPr>
            <w:tcW w:w="5670" w:type="dxa"/>
            <w:gridSpan w:val="4"/>
            <w:tcBorders>
              <w:top w:val="nil"/>
              <w:left w:val="nil"/>
              <w:bottom w:val="single" w:sz="4" w:space="0" w:color="auto"/>
              <w:right w:val="nil"/>
            </w:tcBorders>
            <w:shd w:val="clear" w:color="auto" w:fill="auto"/>
            <w:noWrap/>
            <w:vAlign w:val="bottom"/>
          </w:tcPr>
          <w:p w14:paraId="2612B087" w14:textId="52F09505" w:rsidR="00F51C95" w:rsidRPr="00BA595B" w:rsidRDefault="00F51C95" w:rsidP="00BA595B">
            <w:pPr>
              <w:pStyle w:val="TableText"/>
              <w:jc w:val="center"/>
              <w:rPr>
                <w:i/>
                <w:iCs/>
                <w:lang w:eastAsia="en-GB"/>
              </w:rPr>
            </w:pPr>
            <w:r>
              <w:rPr>
                <w:i/>
                <w:iCs/>
                <w:lang w:eastAsia="en-GB"/>
              </w:rPr>
              <w:t>Found in:</w:t>
            </w:r>
          </w:p>
        </w:tc>
        <w:tc>
          <w:tcPr>
            <w:tcW w:w="1316" w:type="dxa"/>
            <w:vMerge w:val="restart"/>
            <w:tcBorders>
              <w:top w:val="nil"/>
              <w:left w:val="nil"/>
              <w:right w:val="nil"/>
            </w:tcBorders>
            <w:shd w:val="clear" w:color="auto" w:fill="auto"/>
            <w:noWrap/>
            <w:vAlign w:val="bottom"/>
            <w:hideMark/>
          </w:tcPr>
          <w:p w14:paraId="360AF3B9" w14:textId="4263E2C9" w:rsidR="00F51C95" w:rsidRPr="00BA595B" w:rsidRDefault="00F51C95" w:rsidP="00BA595B">
            <w:pPr>
              <w:pStyle w:val="TableText"/>
              <w:jc w:val="center"/>
              <w:rPr>
                <w:i/>
                <w:iCs/>
                <w:lang w:eastAsia="en-GB"/>
              </w:rPr>
            </w:pPr>
            <w:r w:rsidRPr="00BA595B">
              <w:rPr>
                <w:i/>
                <w:iCs/>
                <w:lang w:eastAsia="en-GB"/>
              </w:rPr>
              <w:t>Total Expenditure</w:t>
            </w:r>
          </w:p>
        </w:tc>
      </w:tr>
      <w:tr w:rsidR="00F51C95" w:rsidRPr="00E63641" w14:paraId="5D1C3A18" w14:textId="77777777" w:rsidTr="00460031">
        <w:trPr>
          <w:trHeight w:val="300"/>
        </w:trPr>
        <w:tc>
          <w:tcPr>
            <w:tcW w:w="2127" w:type="dxa"/>
            <w:tcBorders>
              <w:left w:val="nil"/>
              <w:bottom w:val="single" w:sz="4" w:space="0" w:color="auto"/>
              <w:right w:val="nil"/>
            </w:tcBorders>
            <w:shd w:val="clear" w:color="auto" w:fill="auto"/>
            <w:noWrap/>
            <w:vAlign w:val="bottom"/>
          </w:tcPr>
          <w:p w14:paraId="6B899590" w14:textId="639C27B4" w:rsidR="00F51C95" w:rsidRPr="00BA595B" w:rsidRDefault="00F51C95" w:rsidP="00F51C95">
            <w:pPr>
              <w:pStyle w:val="TableText"/>
              <w:rPr>
                <w:i/>
                <w:iCs/>
                <w:lang w:eastAsia="en-GB"/>
              </w:rPr>
            </w:pPr>
            <w:r w:rsidRPr="00BA595B">
              <w:rPr>
                <w:i/>
                <w:iCs/>
                <w:lang w:eastAsia="en-GB"/>
              </w:rPr>
              <w:t>Category</w:t>
            </w:r>
          </w:p>
        </w:tc>
        <w:tc>
          <w:tcPr>
            <w:tcW w:w="1388" w:type="dxa"/>
            <w:tcBorders>
              <w:top w:val="nil"/>
              <w:left w:val="nil"/>
              <w:bottom w:val="single" w:sz="4" w:space="0" w:color="auto"/>
              <w:right w:val="nil"/>
            </w:tcBorders>
            <w:shd w:val="clear" w:color="auto" w:fill="auto"/>
            <w:noWrap/>
            <w:vAlign w:val="bottom"/>
          </w:tcPr>
          <w:p w14:paraId="183B9A2B" w14:textId="78AC0EEF" w:rsidR="00F51C95" w:rsidRPr="00BA595B" w:rsidRDefault="00F51C95" w:rsidP="00F51C95">
            <w:pPr>
              <w:pStyle w:val="TableText"/>
              <w:jc w:val="center"/>
              <w:rPr>
                <w:i/>
                <w:iCs/>
                <w:lang w:eastAsia="en-GB"/>
              </w:rPr>
            </w:pPr>
            <w:r w:rsidRPr="00BA595B">
              <w:rPr>
                <w:i/>
                <w:iCs/>
                <w:lang w:eastAsia="en-GB"/>
              </w:rPr>
              <w:t>CC &amp; CH</w:t>
            </w:r>
            <w:r>
              <w:rPr>
                <w:i/>
                <w:iCs/>
                <w:lang w:eastAsia="en-GB"/>
              </w:rPr>
              <w:t xml:space="preserve"> </w:t>
            </w:r>
          </w:p>
        </w:tc>
        <w:tc>
          <w:tcPr>
            <w:tcW w:w="1388" w:type="dxa"/>
            <w:tcBorders>
              <w:top w:val="nil"/>
              <w:left w:val="nil"/>
              <w:bottom w:val="single" w:sz="4" w:space="0" w:color="auto"/>
              <w:right w:val="nil"/>
            </w:tcBorders>
            <w:shd w:val="clear" w:color="auto" w:fill="auto"/>
            <w:noWrap/>
            <w:vAlign w:val="bottom"/>
          </w:tcPr>
          <w:p w14:paraId="419629FB" w14:textId="7BC5F243" w:rsidR="00F51C95" w:rsidRPr="00BA595B" w:rsidRDefault="00F51C95" w:rsidP="00F51C95">
            <w:pPr>
              <w:pStyle w:val="TableText"/>
              <w:jc w:val="center"/>
              <w:rPr>
                <w:i/>
                <w:iCs/>
                <w:lang w:eastAsia="en-GB"/>
              </w:rPr>
            </w:pPr>
            <w:r w:rsidRPr="00BA595B">
              <w:rPr>
                <w:i/>
                <w:iCs/>
                <w:lang w:eastAsia="en-GB"/>
              </w:rPr>
              <w:t>CC not CH</w:t>
            </w:r>
          </w:p>
        </w:tc>
        <w:tc>
          <w:tcPr>
            <w:tcW w:w="1388" w:type="dxa"/>
            <w:tcBorders>
              <w:top w:val="nil"/>
              <w:left w:val="nil"/>
              <w:bottom w:val="single" w:sz="4" w:space="0" w:color="auto"/>
              <w:right w:val="nil"/>
            </w:tcBorders>
            <w:shd w:val="clear" w:color="auto" w:fill="auto"/>
            <w:noWrap/>
            <w:vAlign w:val="bottom"/>
          </w:tcPr>
          <w:p w14:paraId="38D54B2A" w14:textId="73EBF5E3" w:rsidR="00F51C95" w:rsidRPr="00BA595B" w:rsidRDefault="00F51C95" w:rsidP="00F51C95">
            <w:pPr>
              <w:pStyle w:val="TableText"/>
              <w:jc w:val="center"/>
              <w:rPr>
                <w:i/>
                <w:iCs/>
                <w:lang w:eastAsia="en-GB"/>
              </w:rPr>
            </w:pPr>
            <w:r w:rsidRPr="00BA595B">
              <w:rPr>
                <w:i/>
                <w:iCs/>
                <w:lang w:eastAsia="en-GB"/>
              </w:rPr>
              <w:t>CH not CC</w:t>
            </w:r>
          </w:p>
        </w:tc>
        <w:tc>
          <w:tcPr>
            <w:tcW w:w="1506" w:type="dxa"/>
            <w:tcBorders>
              <w:top w:val="nil"/>
              <w:left w:val="nil"/>
              <w:bottom w:val="single" w:sz="4" w:space="0" w:color="auto"/>
              <w:right w:val="nil"/>
            </w:tcBorders>
            <w:shd w:val="clear" w:color="auto" w:fill="auto"/>
            <w:noWrap/>
            <w:vAlign w:val="bottom"/>
          </w:tcPr>
          <w:p w14:paraId="69B160F3" w14:textId="3E4507EA" w:rsidR="00F51C95" w:rsidRPr="00BA595B" w:rsidRDefault="00F51C95" w:rsidP="00F51C95">
            <w:pPr>
              <w:pStyle w:val="TableText"/>
              <w:jc w:val="center"/>
              <w:rPr>
                <w:i/>
                <w:iCs/>
                <w:lang w:eastAsia="en-GB"/>
              </w:rPr>
            </w:pPr>
            <w:r>
              <w:rPr>
                <w:i/>
                <w:iCs/>
                <w:lang w:eastAsia="en-GB"/>
              </w:rPr>
              <w:t>Neither</w:t>
            </w:r>
            <w:r w:rsidRPr="00BA595B">
              <w:rPr>
                <w:i/>
                <w:iCs/>
                <w:lang w:eastAsia="en-GB"/>
              </w:rPr>
              <w:t xml:space="preserve"> </w:t>
            </w:r>
          </w:p>
        </w:tc>
        <w:tc>
          <w:tcPr>
            <w:tcW w:w="1316" w:type="dxa"/>
            <w:vMerge/>
            <w:tcBorders>
              <w:left w:val="nil"/>
              <w:bottom w:val="single" w:sz="4" w:space="0" w:color="auto"/>
              <w:right w:val="nil"/>
            </w:tcBorders>
            <w:shd w:val="clear" w:color="auto" w:fill="auto"/>
            <w:noWrap/>
            <w:vAlign w:val="bottom"/>
          </w:tcPr>
          <w:p w14:paraId="54E12A2F" w14:textId="77777777" w:rsidR="00F51C95" w:rsidRPr="00BA595B" w:rsidRDefault="00F51C95" w:rsidP="00F51C95">
            <w:pPr>
              <w:pStyle w:val="TableText"/>
              <w:jc w:val="center"/>
              <w:rPr>
                <w:i/>
                <w:iCs/>
                <w:lang w:eastAsia="en-GB"/>
              </w:rPr>
            </w:pPr>
          </w:p>
        </w:tc>
      </w:tr>
      <w:tr w:rsidR="00460031" w:rsidRPr="00E63641" w14:paraId="6AD940B0" w14:textId="77777777" w:rsidTr="00460031">
        <w:trPr>
          <w:trHeight w:val="300"/>
        </w:trPr>
        <w:tc>
          <w:tcPr>
            <w:tcW w:w="2127" w:type="dxa"/>
            <w:tcBorders>
              <w:top w:val="single" w:sz="4" w:space="0" w:color="auto"/>
              <w:left w:val="nil"/>
              <w:bottom w:val="nil"/>
              <w:right w:val="nil"/>
            </w:tcBorders>
            <w:shd w:val="clear" w:color="auto" w:fill="auto"/>
            <w:noWrap/>
            <w:vAlign w:val="center"/>
            <w:hideMark/>
          </w:tcPr>
          <w:p w14:paraId="50B7835B" w14:textId="6A432637" w:rsidR="00460031" w:rsidRPr="00BA595B" w:rsidRDefault="00460031" w:rsidP="00460031">
            <w:pPr>
              <w:pStyle w:val="TableText"/>
              <w:rPr>
                <w:i/>
                <w:iCs/>
                <w:lang w:eastAsia="en-GB"/>
              </w:rPr>
            </w:pPr>
            <w:r w:rsidRPr="00BA595B">
              <w:rPr>
                <w:i/>
                <w:iCs/>
                <w:lang w:eastAsia="en-GB"/>
              </w:rPr>
              <w:t>NHS</w:t>
            </w:r>
            <w:r>
              <w:rPr>
                <w:rFonts w:cs="Times New Roman"/>
                <w:i/>
                <w:iCs/>
                <w:lang w:eastAsia="en-GB"/>
              </w:rPr>
              <w:t>†</w:t>
            </w:r>
          </w:p>
        </w:tc>
        <w:tc>
          <w:tcPr>
            <w:tcW w:w="1388" w:type="dxa"/>
            <w:tcBorders>
              <w:top w:val="single" w:sz="4" w:space="0" w:color="auto"/>
              <w:left w:val="nil"/>
              <w:bottom w:val="nil"/>
              <w:right w:val="nil"/>
            </w:tcBorders>
            <w:shd w:val="clear" w:color="auto" w:fill="auto"/>
            <w:noWrap/>
            <w:hideMark/>
          </w:tcPr>
          <w:p w14:paraId="2B372595" w14:textId="2F75EE90" w:rsidR="00460031" w:rsidRPr="00E63641" w:rsidRDefault="00460031" w:rsidP="00460031">
            <w:pPr>
              <w:pStyle w:val="TableText"/>
              <w:ind w:right="113"/>
              <w:jc w:val="right"/>
              <w:rPr>
                <w:lang w:eastAsia="en-GB"/>
              </w:rPr>
            </w:pPr>
            <w:r w:rsidRPr="00AA255F">
              <w:t>£0.000</w:t>
            </w:r>
          </w:p>
        </w:tc>
        <w:tc>
          <w:tcPr>
            <w:tcW w:w="1388" w:type="dxa"/>
            <w:tcBorders>
              <w:top w:val="single" w:sz="4" w:space="0" w:color="auto"/>
              <w:left w:val="nil"/>
              <w:bottom w:val="nil"/>
              <w:right w:val="nil"/>
            </w:tcBorders>
            <w:shd w:val="clear" w:color="auto" w:fill="auto"/>
            <w:noWrap/>
            <w:hideMark/>
          </w:tcPr>
          <w:p w14:paraId="7DA991B4" w14:textId="74FACE98" w:rsidR="00460031" w:rsidRPr="00E63641" w:rsidRDefault="00460031" w:rsidP="00460031">
            <w:pPr>
              <w:pStyle w:val="TableText"/>
              <w:ind w:right="113"/>
              <w:jc w:val="right"/>
              <w:rPr>
                <w:lang w:eastAsia="en-GB"/>
              </w:rPr>
            </w:pPr>
            <w:r w:rsidRPr="00AA255F">
              <w:t>£0.000</w:t>
            </w:r>
          </w:p>
        </w:tc>
        <w:tc>
          <w:tcPr>
            <w:tcW w:w="1388" w:type="dxa"/>
            <w:tcBorders>
              <w:top w:val="single" w:sz="4" w:space="0" w:color="auto"/>
              <w:left w:val="nil"/>
              <w:bottom w:val="nil"/>
              <w:right w:val="nil"/>
            </w:tcBorders>
            <w:shd w:val="clear" w:color="auto" w:fill="auto"/>
            <w:noWrap/>
            <w:hideMark/>
          </w:tcPr>
          <w:p w14:paraId="6D4798A7" w14:textId="78B40BEA" w:rsidR="00460031" w:rsidRPr="00E63641" w:rsidRDefault="00460031" w:rsidP="00460031">
            <w:pPr>
              <w:pStyle w:val="TableText"/>
              <w:ind w:right="113"/>
              <w:jc w:val="right"/>
              <w:rPr>
                <w:lang w:eastAsia="en-GB"/>
              </w:rPr>
            </w:pPr>
            <w:r w:rsidRPr="00AA255F">
              <w:t>£113.805</w:t>
            </w:r>
          </w:p>
        </w:tc>
        <w:tc>
          <w:tcPr>
            <w:tcW w:w="1506" w:type="dxa"/>
            <w:tcBorders>
              <w:top w:val="single" w:sz="4" w:space="0" w:color="auto"/>
              <w:left w:val="nil"/>
              <w:bottom w:val="nil"/>
              <w:right w:val="nil"/>
            </w:tcBorders>
            <w:shd w:val="clear" w:color="auto" w:fill="auto"/>
            <w:noWrap/>
            <w:hideMark/>
          </w:tcPr>
          <w:p w14:paraId="6EB83F05" w14:textId="05EE4989" w:rsidR="00460031" w:rsidRPr="00E63641" w:rsidRDefault="00460031" w:rsidP="00460031">
            <w:pPr>
              <w:pStyle w:val="TableText"/>
              <w:ind w:right="113"/>
              <w:jc w:val="right"/>
              <w:rPr>
                <w:lang w:eastAsia="en-GB"/>
              </w:rPr>
            </w:pPr>
            <w:r w:rsidRPr="00AA255F">
              <w:t>£54,148.588</w:t>
            </w:r>
          </w:p>
        </w:tc>
        <w:tc>
          <w:tcPr>
            <w:tcW w:w="1316" w:type="dxa"/>
            <w:tcBorders>
              <w:top w:val="single" w:sz="4" w:space="0" w:color="auto"/>
              <w:left w:val="nil"/>
              <w:bottom w:val="nil"/>
              <w:right w:val="nil"/>
            </w:tcBorders>
            <w:shd w:val="clear" w:color="auto" w:fill="auto"/>
            <w:noWrap/>
            <w:hideMark/>
          </w:tcPr>
          <w:p w14:paraId="2D568280" w14:textId="73D79859" w:rsidR="00460031" w:rsidRPr="00E63641" w:rsidRDefault="00460031" w:rsidP="00460031">
            <w:pPr>
              <w:pStyle w:val="TableText"/>
              <w:jc w:val="right"/>
              <w:rPr>
                <w:lang w:eastAsia="en-GB"/>
              </w:rPr>
            </w:pPr>
            <w:r w:rsidRPr="00AA255F">
              <w:t>£54,262.</w:t>
            </w:r>
            <w:r w:rsidR="0012796C">
              <w:t>880</w:t>
            </w:r>
          </w:p>
        </w:tc>
      </w:tr>
      <w:tr w:rsidR="00460031" w:rsidRPr="00E63641" w14:paraId="50629B3C" w14:textId="77777777" w:rsidTr="00FA537C">
        <w:trPr>
          <w:trHeight w:val="300"/>
        </w:trPr>
        <w:tc>
          <w:tcPr>
            <w:tcW w:w="2127" w:type="dxa"/>
            <w:tcBorders>
              <w:top w:val="nil"/>
              <w:left w:val="nil"/>
              <w:bottom w:val="nil"/>
              <w:right w:val="nil"/>
            </w:tcBorders>
            <w:shd w:val="clear" w:color="auto" w:fill="auto"/>
            <w:noWrap/>
            <w:vAlign w:val="center"/>
            <w:hideMark/>
          </w:tcPr>
          <w:p w14:paraId="2B939820" w14:textId="77777777" w:rsidR="00460031" w:rsidRPr="00BA595B" w:rsidRDefault="00460031" w:rsidP="00460031">
            <w:pPr>
              <w:pStyle w:val="TableText"/>
              <w:rPr>
                <w:i/>
                <w:iCs/>
                <w:lang w:eastAsia="en-GB"/>
              </w:rPr>
            </w:pPr>
            <w:r w:rsidRPr="00BA595B">
              <w:rPr>
                <w:i/>
                <w:iCs/>
                <w:lang w:eastAsia="en-GB"/>
              </w:rPr>
              <w:t>LA</w:t>
            </w:r>
          </w:p>
        </w:tc>
        <w:tc>
          <w:tcPr>
            <w:tcW w:w="1388" w:type="dxa"/>
            <w:tcBorders>
              <w:top w:val="nil"/>
              <w:left w:val="nil"/>
              <w:bottom w:val="nil"/>
              <w:right w:val="nil"/>
            </w:tcBorders>
            <w:shd w:val="clear" w:color="auto" w:fill="auto"/>
            <w:noWrap/>
            <w:hideMark/>
          </w:tcPr>
          <w:p w14:paraId="583FC496" w14:textId="5E1C733A" w:rsidR="00460031" w:rsidRPr="00E63641" w:rsidRDefault="00460031" w:rsidP="00460031">
            <w:pPr>
              <w:pStyle w:val="TableText"/>
              <w:ind w:right="113"/>
              <w:jc w:val="right"/>
              <w:rPr>
                <w:lang w:eastAsia="en-GB"/>
              </w:rPr>
            </w:pPr>
            <w:r w:rsidRPr="00AA255F">
              <w:t>£0.000</w:t>
            </w:r>
          </w:p>
        </w:tc>
        <w:tc>
          <w:tcPr>
            <w:tcW w:w="1388" w:type="dxa"/>
            <w:tcBorders>
              <w:top w:val="nil"/>
              <w:left w:val="nil"/>
              <w:bottom w:val="nil"/>
              <w:right w:val="nil"/>
            </w:tcBorders>
            <w:shd w:val="clear" w:color="auto" w:fill="auto"/>
            <w:noWrap/>
            <w:hideMark/>
          </w:tcPr>
          <w:p w14:paraId="21659AD7" w14:textId="5765C1AF" w:rsidR="00460031" w:rsidRPr="00E63641" w:rsidRDefault="00460031" w:rsidP="00460031">
            <w:pPr>
              <w:pStyle w:val="TableText"/>
              <w:ind w:right="113"/>
              <w:jc w:val="right"/>
              <w:rPr>
                <w:lang w:eastAsia="en-GB"/>
              </w:rPr>
            </w:pPr>
            <w:r w:rsidRPr="00AA255F">
              <w:t>£0.000</w:t>
            </w:r>
          </w:p>
        </w:tc>
        <w:tc>
          <w:tcPr>
            <w:tcW w:w="1388" w:type="dxa"/>
            <w:tcBorders>
              <w:top w:val="nil"/>
              <w:left w:val="nil"/>
              <w:bottom w:val="nil"/>
              <w:right w:val="nil"/>
            </w:tcBorders>
            <w:shd w:val="clear" w:color="auto" w:fill="auto"/>
            <w:noWrap/>
            <w:hideMark/>
          </w:tcPr>
          <w:p w14:paraId="51F1F69B" w14:textId="063F591E" w:rsidR="00460031" w:rsidRPr="00E63641" w:rsidRDefault="00460031" w:rsidP="00460031">
            <w:pPr>
              <w:pStyle w:val="TableText"/>
              <w:ind w:right="113"/>
              <w:jc w:val="right"/>
              <w:rPr>
                <w:lang w:eastAsia="en-GB"/>
              </w:rPr>
            </w:pPr>
            <w:r w:rsidRPr="00AA255F">
              <w:t>£0.000</w:t>
            </w:r>
          </w:p>
        </w:tc>
        <w:tc>
          <w:tcPr>
            <w:tcW w:w="1506" w:type="dxa"/>
            <w:tcBorders>
              <w:top w:val="nil"/>
              <w:left w:val="nil"/>
              <w:bottom w:val="dashed" w:sz="8" w:space="0" w:color="auto"/>
              <w:right w:val="nil"/>
            </w:tcBorders>
            <w:shd w:val="clear" w:color="auto" w:fill="auto"/>
            <w:noWrap/>
            <w:hideMark/>
          </w:tcPr>
          <w:p w14:paraId="4A8E839B" w14:textId="25077CD9" w:rsidR="00460031" w:rsidRPr="00E63641" w:rsidRDefault="00460031" w:rsidP="00460031">
            <w:pPr>
              <w:pStyle w:val="TableText"/>
              <w:ind w:right="113"/>
              <w:jc w:val="right"/>
              <w:rPr>
                <w:lang w:eastAsia="en-GB"/>
              </w:rPr>
            </w:pPr>
            <w:r w:rsidRPr="00AA255F">
              <w:t>£4,45</w:t>
            </w:r>
            <w:r w:rsidR="0012796C">
              <w:t>7.706</w:t>
            </w:r>
          </w:p>
        </w:tc>
        <w:tc>
          <w:tcPr>
            <w:tcW w:w="1316" w:type="dxa"/>
            <w:tcBorders>
              <w:top w:val="nil"/>
              <w:left w:val="nil"/>
              <w:bottom w:val="nil"/>
              <w:right w:val="nil"/>
            </w:tcBorders>
            <w:shd w:val="clear" w:color="auto" w:fill="auto"/>
            <w:noWrap/>
            <w:hideMark/>
          </w:tcPr>
          <w:p w14:paraId="585BAF58" w14:textId="6E31A073" w:rsidR="00460031" w:rsidRPr="00E63641" w:rsidRDefault="00460031" w:rsidP="00460031">
            <w:pPr>
              <w:pStyle w:val="TableText"/>
              <w:jc w:val="right"/>
              <w:rPr>
                <w:lang w:eastAsia="en-GB"/>
              </w:rPr>
            </w:pPr>
            <w:r w:rsidRPr="00AA255F">
              <w:t>£</w:t>
            </w:r>
            <w:r w:rsidR="0012796C">
              <w:t>4,457.706</w:t>
            </w:r>
          </w:p>
        </w:tc>
      </w:tr>
      <w:tr w:rsidR="00460031" w:rsidRPr="00E63641" w14:paraId="46A1BC00" w14:textId="77777777" w:rsidTr="00FA537C">
        <w:trPr>
          <w:trHeight w:val="300"/>
        </w:trPr>
        <w:tc>
          <w:tcPr>
            <w:tcW w:w="2127" w:type="dxa"/>
            <w:tcBorders>
              <w:top w:val="nil"/>
              <w:left w:val="nil"/>
              <w:bottom w:val="nil"/>
              <w:right w:val="nil"/>
            </w:tcBorders>
            <w:shd w:val="clear" w:color="auto" w:fill="auto"/>
            <w:noWrap/>
            <w:vAlign w:val="center"/>
            <w:hideMark/>
          </w:tcPr>
          <w:p w14:paraId="71EA2596" w14:textId="6A8FB382" w:rsidR="00460031" w:rsidRPr="00BA595B" w:rsidRDefault="00460031" w:rsidP="00460031">
            <w:pPr>
              <w:pStyle w:val="TableText"/>
              <w:rPr>
                <w:i/>
                <w:iCs/>
                <w:lang w:eastAsia="en-GB"/>
              </w:rPr>
            </w:pPr>
            <w:r w:rsidRPr="00BA595B">
              <w:rPr>
                <w:i/>
                <w:iCs/>
                <w:lang w:eastAsia="en-GB"/>
              </w:rPr>
              <w:t>GP</w:t>
            </w:r>
            <w:r>
              <w:rPr>
                <w:i/>
                <w:iCs/>
                <w:lang w:eastAsia="en-GB"/>
              </w:rPr>
              <w:t xml:space="preserve"> </w:t>
            </w:r>
            <w:r w:rsidRPr="00BA595B">
              <w:rPr>
                <w:i/>
                <w:iCs/>
                <w:lang w:eastAsia="en-GB"/>
              </w:rPr>
              <w:t>Services</w:t>
            </w:r>
          </w:p>
        </w:tc>
        <w:tc>
          <w:tcPr>
            <w:tcW w:w="1388" w:type="dxa"/>
            <w:tcBorders>
              <w:top w:val="nil"/>
              <w:left w:val="nil"/>
              <w:bottom w:val="nil"/>
              <w:right w:val="nil"/>
            </w:tcBorders>
            <w:shd w:val="clear" w:color="auto" w:fill="auto"/>
            <w:noWrap/>
            <w:hideMark/>
          </w:tcPr>
          <w:p w14:paraId="3EB0CEB3" w14:textId="28C30E7A" w:rsidR="00460031" w:rsidRPr="00E63641" w:rsidRDefault="00460031" w:rsidP="00460031">
            <w:pPr>
              <w:pStyle w:val="TableText"/>
              <w:ind w:right="113"/>
              <w:jc w:val="right"/>
              <w:rPr>
                <w:lang w:eastAsia="en-GB"/>
              </w:rPr>
            </w:pPr>
            <w:r w:rsidRPr="00AA255F">
              <w:t>£5.078</w:t>
            </w:r>
          </w:p>
        </w:tc>
        <w:tc>
          <w:tcPr>
            <w:tcW w:w="1388" w:type="dxa"/>
            <w:tcBorders>
              <w:top w:val="nil"/>
              <w:left w:val="nil"/>
              <w:bottom w:val="nil"/>
              <w:right w:val="nil"/>
            </w:tcBorders>
            <w:shd w:val="clear" w:color="auto" w:fill="auto"/>
            <w:noWrap/>
            <w:hideMark/>
          </w:tcPr>
          <w:p w14:paraId="1FF66F63" w14:textId="07F5F990" w:rsidR="00460031" w:rsidRPr="00E63641" w:rsidRDefault="00460031" w:rsidP="00460031">
            <w:pPr>
              <w:pStyle w:val="TableText"/>
              <w:ind w:right="113"/>
              <w:jc w:val="right"/>
              <w:rPr>
                <w:lang w:eastAsia="en-GB"/>
              </w:rPr>
            </w:pPr>
            <w:r w:rsidRPr="00AA255F">
              <w:t>£3.444</w:t>
            </w:r>
          </w:p>
        </w:tc>
        <w:tc>
          <w:tcPr>
            <w:tcW w:w="1388" w:type="dxa"/>
            <w:tcBorders>
              <w:top w:val="nil"/>
              <w:left w:val="nil"/>
              <w:bottom w:val="nil"/>
              <w:right w:val="dashed" w:sz="8" w:space="0" w:color="auto"/>
            </w:tcBorders>
            <w:shd w:val="clear" w:color="auto" w:fill="auto"/>
            <w:noWrap/>
            <w:hideMark/>
          </w:tcPr>
          <w:p w14:paraId="4C1BF1F2" w14:textId="459A9C29" w:rsidR="00460031" w:rsidRPr="00E63641" w:rsidRDefault="00460031" w:rsidP="00460031">
            <w:pPr>
              <w:pStyle w:val="TableText"/>
              <w:ind w:right="113"/>
              <w:jc w:val="right"/>
              <w:rPr>
                <w:lang w:eastAsia="en-GB"/>
              </w:rPr>
            </w:pPr>
            <w:r w:rsidRPr="00AA255F">
              <w:t>£721.</w:t>
            </w:r>
            <w:r w:rsidR="0012796C">
              <w:t>666</w:t>
            </w:r>
          </w:p>
        </w:tc>
        <w:tc>
          <w:tcPr>
            <w:tcW w:w="1506" w:type="dxa"/>
            <w:tcBorders>
              <w:top w:val="dashed" w:sz="8" w:space="0" w:color="auto"/>
              <w:left w:val="dashed" w:sz="8" w:space="0" w:color="auto"/>
              <w:bottom w:val="nil"/>
              <w:right w:val="dashed" w:sz="8" w:space="0" w:color="auto"/>
            </w:tcBorders>
            <w:shd w:val="clear" w:color="auto" w:fill="auto"/>
            <w:noWrap/>
            <w:hideMark/>
          </w:tcPr>
          <w:p w14:paraId="671DA79B" w14:textId="1C53F1FF" w:rsidR="00460031" w:rsidRPr="00E63641" w:rsidRDefault="00460031" w:rsidP="00460031">
            <w:pPr>
              <w:pStyle w:val="TableText"/>
              <w:ind w:right="113"/>
              <w:jc w:val="right"/>
              <w:rPr>
                <w:lang w:eastAsia="en-GB"/>
              </w:rPr>
            </w:pPr>
            <w:r w:rsidRPr="00AA255F">
              <w:t>£</w:t>
            </w:r>
            <w:r w:rsidR="0012796C">
              <w:t>5,541.260</w:t>
            </w:r>
          </w:p>
        </w:tc>
        <w:tc>
          <w:tcPr>
            <w:tcW w:w="1316" w:type="dxa"/>
            <w:tcBorders>
              <w:top w:val="nil"/>
              <w:left w:val="dashed" w:sz="8" w:space="0" w:color="auto"/>
              <w:bottom w:val="nil"/>
              <w:right w:val="nil"/>
            </w:tcBorders>
            <w:shd w:val="clear" w:color="auto" w:fill="auto"/>
            <w:noWrap/>
            <w:hideMark/>
          </w:tcPr>
          <w:p w14:paraId="77B3C537" w14:textId="1D0784C1" w:rsidR="00460031" w:rsidRPr="00E63641" w:rsidRDefault="00460031" w:rsidP="00460031">
            <w:pPr>
              <w:pStyle w:val="TableText"/>
              <w:jc w:val="right"/>
              <w:rPr>
                <w:lang w:eastAsia="en-GB"/>
              </w:rPr>
            </w:pPr>
            <w:r w:rsidRPr="00AA255F">
              <w:t>£6</w:t>
            </w:r>
            <w:r w:rsidR="0012796C">
              <w:t>,271.449</w:t>
            </w:r>
          </w:p>
        </w:tc>
      </w:tr>
      <w:tr w:rsidR="00460031" w:rsidRPr="00E63641" w14:paraId="2159D162" w14:textId="77777777" w:rsidTr="00FA537C">
        <w:trPr>
          <w:trHeight w:val="300"/>
        </w:trPr>
        <w:tc>
          <w:tcPr>
            <w:tcW w:w="2127" w:type="dxa"/>
            <w:tcBorders>
              <w:top w:val="nil"/>
              <w:left w:val="nil"/>
              <w:bottom w:val="nil"/>
              <w:right w:val="nil"/>
            </w:tcBorders>
            <w:shd w:val="clear" w:color="auto" w:fill="auto"/>
            <w:noWrap/>
            <w:vAlign w:val="center"/>
            <w:hideMark/>
          </w:tcPr>
          <w:p w14:paraId="45B630EE" w14:textId="565D1D5A" w:rsidR="00460031" w:rsidRPr="00BA595B" w:rsidRDefault="00460031" w:rsidP="00460031">
            <w:pPr>
              <w:pStyle w:val="TableText"/>
              <w:rPr>
                <w:i/>
                <w:iCs/>
                <w:lang w:eastAsia="en-GB"/>
              </w:rPr>
            </w:pPr>
            <w:r w:rsidRPr="00BA595B">
              <w:rPr>
                <w:i/>
                <w:iCs/>
                <w:lang w:eastAsia="en-GB"/>
              </w:rPr>
              <w:t>Care</w:t>
            </w:r>
            <w:r>
              <w:rPr>
                <w:i/>
                <w:iCs/>
                <w:lang w:eastAsia="en-GB"/>
              </w:rPr>
              <w:t xml:space="preserve"> </w:t>
            </w:r>
            <w:r w:rsidRPr="00BA595B">
              <w:rPr>
                <w:i/>
                <w:iCs/>
                <w:lang w:eastAsia="en-GB"/>
              </w:rPr>
              <w:t>Home</w:t>
            </w:r>
          </w:p>
        </w:tc>
        <w:tc>
          <w:tcPr>
            <w:tcW w:w="1388" w:type="dxa"/>
            <w:tcBorders>
              <w:top w:val="nil"/>
              <w:left w:val="nil"/>
              <w:bottom w:val="nil"/>
              <w:right w:val="nil"/>
            </w:tcBorders>
            <w:shd w:val="clear" w:color="auto" w:fill="auto"/>
            <w:noWrap/>
            <w:hideMark/>
          </w:tcPr>
          <w:p w14:paraId="797FE7A2" w14:textId="594F7A91" w:rsidR="00460031" w:rsidRPr="00E63641" w:rsidRDefault="00460031" w:rsidP="00460031">
            <w:pPr>
              <w:pStyle w:val="TableText"/>
              <w:ind w:right="113"/>
              <w:jc w:val="right"/>
              <w:rPr>
                <w:lang w:eastAsia="en-GB"/>
              </w:rPr>
            </w:pPr>
            <w:r w:rsidRPr="00AA255F">
              <w:t>£65.652</w:t>
            </w:r>
          </w:p>
        </w:tc>
        <w:tc>
          <w:tcPr>
            <w:tcW w:w="1388" w:type="dxa"/>
            <w:tcBorders>
              <w:top w:val="nil"/>
              <w:left w:val="nil"/>
              <w:bottom w:val="nil"/>
              <w:right w:val="nil"/>
            </w:tcBorders>
            <w:shd w:val="clear" w:color="auto" w:fill="auto"/>
            <w:noWrap/>
            <w:hideMark/>
          </w:tcPr>
          <w:p w14:paraId="3AE63580" w14:textId="6C299BBA" w:rsidR="00460031" w:rsidRPr="00E63641" w:rsidRDefault="00460031" w:rsidP="00460031">
            <w:pPr>
              <w:pStyle w:val="TableText"/>
              <w:ind w:right="113"/>
              <w:jc w:val="right"/>
              <w:rPr>
                <w:lang w:eastAsia="en-GB"/>
              </w:rPr>
            </w:pPr>
            <w:r w:rsidRPr="00AA255F">
              <w:t>£1.032</w:t>
            </w:r>
          </w:p>
        </w:tc>
        <w:tc>
          <w:tcPr>
            <w:tcW w:w="1388" w:type="dxa"/>
            <w:tcBorders>
              <w:top w:val="nil"/>
              <w:left w:val="nil"/>
              <w:bottom w:val="nil"/>
              <w:right w:val="dashed" w:sz="8" w:space="0" w:color="auto"/>
            </w:tcBorders>
            <w:shd w:val="clear" w:color="auto" w:fill="auto"/>
            <w:noWrap/>
            <w:hideMark/>
          </w:tcPr>
          <w:p w14:paraId="2C9F4EE3" w14:textId="3F943802" w:rsidR="00460031" w:rsidRPr="00E63641" w:rsidRDefault="00460031" w:rsidP="00460031">
            <w:pPr>
              <w:pStyle w:val="TableText"/>
              <w:ind w:right="113"/>
              <w:jc w:val="right"/>
              <w:rPr>
                <w:lang w:eastAsia="en-GB"/>
              </w:rPr>
            </w:pPr>
            <w:r w:rsidRPr="00AA255F">
              <w:t>£257.</w:t>
            </w:r>
            <w:r w:rsidR="0012796C">
              <w:t>759</w:t>
            </w:r>
          </w:p>
        </w:tc>
        <w:tc>
          <w:tcPr>
            <w:tcW w:w="1506" w:type="dxa"/>
            <w:tcBorders>
              <w:top w:val="nil"/>
              <w:left w:val="dashed" w:sz="8" w:space="0" w:color="auto"/>
              <w:bottom w:val="nil"/>
              <w:right w:val="dashed" w:sz="8" w:space="0" w:color="auto"/>
            </w:tcBorders>
            <w:shd w:val="clear" w:color="auto" w:fill="auto"/>
            <w:noWrap/>
            <w:hideMark/>
          </w:tcPr>
          <w:p w14:paraId="76A216B4" w14:textId="7811C27D" w:rsidR="00460031" w:rsidRPr="00E63641" w:rsidRDefault="00460031" w:rsidP="00460031">
            <w:pPr>
              <w:pStyle w:val="TableText"/>
              <w:ind w:right="113"/>
              <w:jc w:val="right"/>
              <w:rPr>
                <w:lang w:eastAsia="en-GB"/>
              </w:rPr>
            </w:pPr>
            <w:r w:rsidRPr="00AA255F">
              <w:t>£45.289</w:t>
            </w:r>
          </w:p>
        </w:tc>
        <w:tc>
          <w:tcPr>
            <w:tcW w:w="1316" w:type="dxa"/>
            <w:tcBorders>
              <w:top w:val="nil"/>
              <w:left w:val="dashed" w:sz="8" w:space="0" w:color="auto"/>
              <w:bottom w:val="nil"/>
              <w:right w:val="nil"/>
            </w:tcBorders>
            <w:shd w:val="clear" w:color="auto" w:fill="auto"/>
            <w:noWrap/>
            <w:hideMark/>
          </w:tcPr>
          <w:p w14:paraId="434DF917" w14:textId="04BFB81F" w:rsidR="00460031" w:rsidRPr="00E63641" w:rsidRDefault="00460031" w:rsidP="00460031">
            <w:pPr>
              <w:pStyle w:val="TableText"/>
              <w:jc w:val="right"/>
              <w:rPr>
                <w:lang w:eastAsia="en-GB"/>
              </w:rPr>
            </w:pPr>
            <w:r w:rsidRPr="00AA255F">
              <w:t>£369.</w:t>
            </w:r>
            <w:r w:rsidR="0012796C">
              <w:t>732</w:t>
            </w:r>
          </w:p>
        </w:tc>
      </w:tr>
      <w:tr w:rsidR="00460031" w:rsidRPr="00E63641" w14:paraId="276EA5A9" w14:textId="77777777" w:rsidTr="00FA537C">
        <w:trPr>
          <w:trHeight w:val="300"/>
        </w:trPr>
        <w:tc>
          <w:tcPr>
            <w:tcW w:w="2127" w:type="dxa"/>
            <w:tcBorders>
              <w:top w:val="nil"/>
              <w:left w:val="nil"/>
              <w:bottom w:val="nil"/>
              <w:right w:val="nil"/>
            </w:tcBorders>
            <w:shd w:val="clear" w:color="auto" w:fill="auto"/>
            <w:noWrap/>
            <w:vAlign w:val="center"/>
            <w:hideMark/>
          </w:tcPr>
          <w:p w14:paraId="0DC250E8" w14:textId="77777777" w:rsidR="00460031" w:rsidRPr="00BA595B" w:rsidRDefault="00460031" w:rsidP="00460031">
            <w:pPr>
              <w:pStyle w:val="TableText"/>
              <w:rPr>
                <w:i/>
                <w:iCs/>
                <w:lang w:eastAsia="en-GB"/>
              </w:rPr>
            </w:pPr>
            <w:r w:rsidRPr="00BA595B">
              <w:rPr>
                <w:i/>
                <w:iCs/>
                <w:lang w:eastAsia="en-GB"/>
              </w:rPr>
              <w:t>Hospice</w:t>
            </w:r>
          </w:p>
        </w:tc>
        <w:tc>
          <w:tcPr>
            <w:tcW w:w="1388" w:type="dxa"/>
            <w:tcBorders>
              <w:top w:val="nil"/>
              <w:left w:val="nil"/>
              <w:bottom w:val="nil"/>
              <w:right w:val="nil"/>
            </w:tcBorders>
            <w:shd w:val="clear" w:color="auto" w:fill="auto"/>
            <w:noWrap/>
            <w:hideMark/>
          </w:tcPr>
          <w:p w14:paraId="72A67F83" w14:textId="101D5515" w:rsidR="00460031" w:rsidRPr="00E63641" w:rsidRDefault="00460031" w:rsidP="00460031">
            <w:pPr>
              <w:pStyle w:val="TableText"/>
              <w:ind w:right="113"/>
              <w:jc w:val="right"/>
              <w:rPr>
                <w:lang w:eastAsia="en-GB"/>
              </w:rPr>
            </w:pPr>
            <w:r w:rsidRPr="00AA255F">
              <w:t>£</w:t>
            </w:r>
            <w:r w:rsidR="0012796C">
              <w:t>201.115</w:t>
            </w:r>
          </w:p>
        </w:tc>
        <w:tc>
          <w:tcPr>
            <w:tcW w:w="1388" w:type="dxa"/>
            <w:tcBorders>
              <w:top w:val="nil"/>
              <w:left w:val="nil"/>
              <w:bottom w:val="nil"/>
              <w:right w:val="nil"/>
            </w:tcBorders>
            <w:shd w:val="clear" w:color="auto" w:fill="auto"/>
            <w:noWrap/>
            <w:hideMark/>
          </w:tcPr>
          <w:p w14:paraId="7876BD5F" w14:textId="1F877E28" w:rsidR="00460031" w:rsidRPr="00E63641" w:rsidRDefault="00460031" w:rsidP="00460031">
            <w:pPr>
              <w:pStyle w:val="TableText"/>
              <w:ind w:right="113"/>
              <w:jc w:val="right"/>
              <w:rPr>
                <w:lang w:eastAsia="en-GB"/>
              </w:rPr>
            </w:pPr>
            <w:r w:rsidRPr="00AA255F">
              <w:t>£0.639</w:t>
            </w:r>
          </w:p>
        </w:tc>
        <w:tc>
          <w:tcPr>
            <w:tcW w:w="1388" w:type="dxa"/>
            <w:tcBorders>
              <w:top w:val="nil"/>
              <w:left w:val="nil"/>
              <w:bottom w:val="nil"/>
              <w:right w:val="dashed" w:sz="8" w:space="0" w:color="auto"/>
            </w:tcBorders>
            <w:shd w:val="clear" w:color="auto" w:fill="auto"/>
            <w:noWrap/>
            <w:hideMark/>
          </w:tcPr>
          <w:p w14:paraId="7E4BDE38" w14:textId="041BA5D9" w:rsidR="00460031" w:rsidRPr="00E63641" w:rsidRDefault="00460031" w:rsidP="00460031">
            <w:pPr>
              <w:pStyle w:val="TableText"/>
              <w:ind w:right="113"/>
              <w:jc w:val="right"/>
              <w:rPr>
                <w:lang w:eastAsia="en-GB"/>
              </w:rPr>
            </w:pPr>
            <w:r w:rsidRPr="00AA255F">
              <w:t>£0.000</w:t>
            </w:r>
          </w:p>
        </w:tc>
        <w:tc>
          <w:tcPr>
            <w:tcW w:w="1506" w:type="dxa"/>
            <w:tcBorders>
              <w:top w:val="nil"/>
              <w:left w:val="dashed" w:sz="8" w:space="0" w:color="auto"/>
              <w:bottom w:val="nil"/>
              <w:right w:val="dashed" w:sz="8" w:space="0" w:color="auto"/>
            </w:tcBorders>
            <w:shd w:val="clear" w:color="auto" w:fill="auto"/>
            <w:noWrap/>
            <w:hideMark/>
          </w:tcPr>
          <w:p w14:paraId="3F98FC29" w14:textId="6FBA3D97" w:rsidR="00460031" w:rsidRPr="00E63641" w:rsidRDefault="00460031" w:rsidP="00460031">
            <w:pPr>
              <w:pStyle w:val="TableText"/>
              <w:ind w:right="113"/>
              <w:jc w:val="right"/>
              <w:rPr>
                <w:lang w:eastAsia="en-GB"/>
              </w:rPr>
            </w:pPr>
            <w:r w:rsidRPr="00AA255F">
              <w:t>£0.000</w:t>
            </w:r>
          </w:p>
        </w:tc>
        <w:tc>
          <w:tcPr>
            <w:tcW w:w="1316" w:type="dxa"/>
            <w:tcBorders>
              <w:top w:val="nil"/>
              <w:left w:val="dashed" w:sz="8" w:space="0" w:color="auto"/>
              <w:bottom w:val="nil"/>
              <w:right w:val="nil"/>
            </w:tcBorders>
            <w:shd w:val="clear" w:color="auto" w:fill="auto"/>
            <w:noWrap/>
            <w:hideMark/>
          </w:tcPr>
          <w:p w14:paraId="6B0E876F" w14:textId="532B7610" w:rsidR="00460031" w:rsidRPr="00E63641" w:rsidRDefault="00460031" w:rsidP="00460031">
            <w:pPr>
              <w:pStyle w:val="TableText"/>
              <w:jc w:val="right"/>
              <w:rPr>
                <w:lang w:eastAsia="en-GB"/>
              </w:rPr>
            </w:pPr>
            <w:r w:rsidRPr="00AA255F">
              <w:t>£</w:t>
            </w:r>
            <w:r w:rsidR="0012796C">
              <w:t>201.754</w:t>
            </w:r>
          </w:p>
        </w:tc>
      </w:tr>
      <w:tr w:rsidR="00460031" w:rsidRPr="00E63641" w14:paraId="4CCCA5DD" w14:textId="77777777" w:rsidTr="00FA537C">
        <w:trPr>
          <w:trHeight w:val="300"/>
        </w:trPr>
        <w:tc>
          <w:tcPr>
            <w:tcW w:w="2127" w:type="dxa"/>
            <w:tcBorders>
              <w:top w:val="nil"/>
              <w:left w:val="nil"/>
              <w:right w:val="nil"/>
            </w:tcBorders>
            <w:shd w:val="clear" w:color="auto" w:fill="auto"/>
            <w:noWrap/>
            <w:vAlign w:val="center"/>
            <w:hideMark/>
          </w:tcPr>
          <w:p w14:paraId="5AD61371" w14:textId="553CB8AE" w:rsidR="00460031" w:rsidRPr="00BA595B" w:rsidRDefault="00460031" w:rsidP="00460031">
            <w:pPr>
              <w:pStyle w:val="TableText"/>
              <w:rPr>
                <w:i/>
                <w:iCs/>
                <w:lang w:eastAsia="en-GB"/>
              </w:rPr>
            </w:pPr>
            <w:r>
              <w:rPr>
                <w:i/>
                <w:iCs/>
                <w:lang w:eastAsia="en-GB"/>
              </w:rPr>
              <w:t>Categorised</w:t>
            </w:r>
            <w:r w:rsidRPr="00BA595B">
              <w:rPr>
                <w:i/>
                <w:iCs/>
                <w:lang w:eastAsia="en-GB"/>
              </w:rPr>
              <w:t xml:space="preserve"> Other</w:t>
            </w:r>
            <w:r>
              <w:rPr>
                <w:rFonts w:cs="Times New Roman"/>
                <w:i/>
                <w:iCs/>
                <w:lang w:eastAsia="en-GB"/>
              </w:rPr>
              <w:t>††</w:t>
            </w:r>
          </w:p>
        </w:tc>
        <w:tc>
          <w:tcPr>
            <w:tcW w:w="1388" w:type="dxa"/>
            <w:tcBorders>
              <w:top w:val="nil"/>
              <w:left w:val="nil"/>
              <w:right w:val="nil"/>
            </w:tcBorders>
            <w:shd w:val="clear" w:color="auto" w:fill="auto"/>
            <w:noWrap/>
            <w:hideMark/>
          </w:tcPr>
          <w:p w14:paraId="61B4C817" w14:textId="150A83C5" w:rsidR="00460031" w:rsidRPr="00E63641" w:rsidRDefault="00460031" w:rsidP="00460031">
            <w:pPr>
              <w:pStyle w:val="TableText"/>
              <w:ind w:right="113"/>
              <w:jc w:val="right"/>
              <w:rPr>
                <w:lang w:eastAsia="en-GB"/>
              </w:rPr>
            </w:pPr>
            <w:r w:rsidRPr="00AA255F">
              <w:t>£0.453</w:t>
            </w:r>
          </w:p>
        </w:tc>
        <w:tc>
          <w:tcPr>
            <w:tcW w:w="1388" w:type="dxa"/>
            <w:tcBorders>
              <w:top w:val="nil"/>
              <w:left w:val="nil"/>
              <w:right w:val="nil"/>
            </w:tcBorders>
            <w:shd w:val="clear" w:color="auto" w:fill="auto"/>
            <w:noWrap/>
            <w:hideMark/>
          </w:tcPr>
          <w:p w14:paraId="6F6D05BA" w14:textId="45C705A8" w:rsidR="00460031" w:rsidRPr="00E63641" w:rsidRDefault="00460031" w:rsidP="00460031">
            <w:pPr>
              <w:pStyle w:val="TableText"/>
              <w:ind w:right="113"/>
              <w:jc w:val="right"/>
              <w:rPr>
                <w:lang w:eastAsia="en-GB"/>
              </w:rPr>
            </w:pPr>
            <w:r w:rsidRPr="00AA255F">
              <w:t>£1.833</w:t>
            </w:r>
          </w:p>
        </w:tc>
        <w:tc>
          <w:tcPr>
            <w:tcW w:w="1388" w:type="dxa"/>
            <w:tcBorders>
              <w:top w:val="nil"/>
              <w:left w:val="nil"/>
              <w:right w:val="dashed" w:sz="8" w:space="0" w:color="auto"/>
            </w:tcBorders>
            <w:shd w:val="clear" w:color="auto" w:fill="auto"/>
            <w:noWrap/>
            <w:hideMark/>
          </w:tcPr>
          <w:p w14:paraId="44819593" w14:textId="0E524925" w:rsidR="00460031" w:rsidRPr="00E63641" w:rsidRDefault="00460031" w:rsidP="00460031">
            <w:pPr>
              <w:pStyle w:val="TableText"/>
              <w:ind w:right="113"/>
              <w:jc w:val="right"/>
              <w:rPr>
                <w:lang w:eastAsia="en-GB"/>
              </w:rPr>
            </w:pPr>
            <w:r w:rsidRPr="00AA255F">
              <w:t>£13.509</w:t>
            </w:r>
          </w:p>
        </w:tc>
        <w:tc>
          <w:tcPr>
            <w:tcW w:w="1506" w:type="dxa"/>
            <w:tcBorders>
              <w:top w:val="nil"/>
              <w:left w:val="dashed" w:sz="8" w:space="0" w:color="auto"/>
              <w:right w:val="dashed" w:sz="8" w:space="0" w:color="auto"/>
            </w:tcBorders>
            <w:shd w:val="clear" w:color="auto" w:fill="auto"/>
            <w:noWrap/>
            <w:hideMark/>
          </w:tcPr>
          <w:p w14:paraId="3A53FC8C" w14:textId="1E593F75" w:rsidR="00460031" w:rsidRPr="00E63641" w:rsidRDefault="00460031" w:rsidP="00460031">
            <w:pPr>
              <w:pStyle w:val="TableText"/>
              <w:ind w:right="113"/>
              <w:jc w:val="right"/>
              <w:rPr>
                <w:lang w:eastAsia="en-GB"/>
              </w:rPr>
            </w:pPr>
            <w:r w:rsidRPr="00AA255F">
              <w:t>£252.879</w:t>
            </w:r>
          </w:p>
        </w:tc>
        <w:tc>
          <w:tcPr>
            <w:tcW w:w="1316" w:type="dxa"/>
            <w:tcBorders>
              <w:top w:val="nil"/>
              <w:left w:val="dashed" w:sz="8" w:space="0" w:color="auto"/>
              <w:right w:val="nil"/>
            </w:tcBorders>
            <w:shd w:val="clear" w:color="auto" w:fill="auto"/>
            <w:noWrap/>
            <w:hideMark/>
          </w:tcPr>
          <w:p w14:paraId="430C6006" w14:textId="2A0C9A4A" w:rsidR="00460031" w:rsidRPr="00E63641" w:rsidRDefault="00460031" w:rsidP="00460031">
            <w:pPr>
              <w:pStyle w:val="TableText"/>
              <w:jc w:val="right"/>
              <w:rPr>
                <w:lang w:eastAsia="en-GB"/>
              </w:rPr>
            </w:pPr>
            <w:r w:rsidRPr="00AA255F">
              <w:t>£268.674</w:t>
            </w:r>
          </w:p>
        </w:tc>
      </w:tr>
      <w:tr w:rsidR="00460031" w:rsidRPr="00E63641" w14:paraId="7A6188D1" w14:textId="77777777" w:rsidTr="00FA537C">
        <w:trPr>
          <w:trHeight w:val="300"/>
        </w:trPr>
        <w:tc>
          <w:tcPr>
            <w:tcW w:w="2127" w:type="dxa"/>
            <w:tcBorders>
              <w:top w:val="nil"/>
              <w:left w:val="nil"/>
              <w:bottom w:val="single" w:sz="4" w:space="0" w:color="auto"/>
              <w:right w:val="nil"/>
            </w:tcBorders>
            <w:shd w:val="clear" w:color="auto" w:fill="auto"/>
            <w:noWrap/>
            <w:vAlign w:val="center"/>
            <w:hideMark/>
          </w:tcPr>
          <w:p w14:paraId="6203E766" w14:textId="3282CD8C" w:rsidR="00460031" w:rsidRPr="00BA595B" w:rsidRDefault="00460031" w:rsidP="00460031">
            <w:pPr>
              <w:pStyle w:val="TableText"/>
              <w:rPr>
                <w:i/>
                <w:iCs/>
                <w:lang w:eastAsia="en-GB"/>
              </w:rPr>
            </w:pPr>
            <w:r w:rsidRPr="00BA595B">
              <w:rPr>
                <w:i/>
                <w:iCs/>
                <w:lang w:eastAsia="en-GB"/>
              </w:rPr>
              <w:t>Other</w:t>
            </w:r>
          </w:p>
        </w:tc>
        <w:tc>
          <w:tcPr>
            <w:tcW w:w="1388" w:type="dxa"/>
            <w:tcBorders>
              <w:top w:val="nil"/>
              <w:left w:val="nil"/>
              <w:bottom w:val="single" w:sz="4" w:space="0" w:color="auto"/>
              <w:right w:val="nil"/>
            </w:tcBorders>
            <w:shd w:val="clear" w:color="auto" w:fill="auto"/>
            <w:noWrap/>
            <w:hideMark/>
          </w:tcPr>
          <w:p w14:paraId="4AD12545" w14:textId="08144DA7" w:rsidR="00460031" w:rsidRPr="00E63641" w:rsidRDefault="00460031" w:rsidP="00460031">
            <w:pPr>
              <w:pStyle w:val="TableText"/>
              <w:ind w:right="113"/>
              <w:jc w:val="right"/>
              <w:rPr>
                <w:lang w:eastAsia="en-GB"/>
              </w:rPr>
            </w:pPr>
            <w:r w:rsidRPr="00AA255F">
              <w:t>£463.1</w:t>
            </w:r>
            <w:r w:rsidR="0012796C">
              <w:t>66</w:t>
            </w:r>
          </w:p>
        </w:tc>
        <w:tc>
          <w:tcPr>
            <w:tcW w:w="1388" w:type="dxa"/>
            <w:tcBorders>
              <w:top w:val="nil"/>
              <w:left w:val="nil"/>
              <w:bottom w:val="single" w:sz="4" w:space="0" w:color="auto"/>
              <w:right w:val="nil"/>
            </w:tcBorders>
            <w:shd w:val="clear" w:color="auto" w:fill="auto"/>
            <w:noWrap/>
            <w:hideMark/>
          </w:tcPr>
          <w:p w14:paraId="548FB383" w14:textId="001FFD4F" w:rsidR="00460031" w:rsidRPr="00E63641" w:rsidRDefault="00460031" w:rsidP="00460031">
            <w:pPr>
              <w:pStyle w:val="TableText"/>
              <w:ind w:right="113"/>
              <w:jc w:val="right"/>
              <w:rPr>
                <w:lang w:eastAsia="en-GB"/>
              </w:rPr>
            </w:pPr>
            <w:r w:rsidRPr="00AA255F">
              <w:t>£13.501</w:t>
            </w:r>
          </w:p>
        </w:tc>
        <w:tc>
          <w:tcPr>
            <w:tcW w:w="1388" w:type="dxa"/>
            <w:tcBorders>
              <w:top w:val="nil"/>
              <w:left w:val="nil"/>
              <w:bottom w:val="single" w:sz="4" w:space="0" w:color="auto"/>
              <w:right w:val="dashed" w:sz="8" w:space="0" w:color="auto"/>
            </w:tcBorders>
            <w:shd w:val="clear" w:color="auto" w:fill="auto"/>
            <w:noWrap/>
            <w:hideMark/>
          </w:tcPr>
          <w:p w14:paraId="27E69490" w14:textId="4782C1EF" w:rsidR="00460031" w:rsidRPr="00E63641" w:rsidRDefault="00460031" w:rsidP="00460031">
            <w:pPr>
              <w:pStyle w:val="TableText"/>
              <w:ind w:right="113"/>
              <w:jc w:val="right"/>
              <w:rPr>
                <w:lang w:eastAsia="en-GB"/>
              </w:rPr>
            </w:pPr>
            <w:r w:rsidRPr="00AA255F">
              <w:t>£</w:t>
            </w:r>
            <w:r w:rsidR="0012796C">
              <w:t>3,998.057</w:t>
            </w:r>
          </w:p>
        </w:tc>
        <w:tc>
          <w:tcPr>
            <w:tcW w:w="1506" w:type="dxa"/>
            <w:tcBorders>
              <w:top w:val="nil"/>
              <w:left w:val="dashed" w:sz="8" w:space="0" w:color="auto"/>
              <w:bottom w:val="single" w:sz="4" w:space="0" w:color="auto"/>
              <w:right w:val="dashed" w:sz="8" w:space="0" w:color="auto"/>
            </w:tcBorders>
            <w:shd w:val="clear" w:color="auto" w:fill="auto"/>
            <w:noWrap/>
            <w:hideMark/>
          </w:tcPr>
          <w:p w14:paraId="53DE2856" w14:textId="0407D871" w:rsidR="00460031" w:rsidRPr="00460031" w:rsidRDefault="00460031" w:rsidP="00460031">
            <w:pPr>
              <w:pStyle w:val="TableText"/>
              <w:ind w:right="113"/>
              <w:jc w:val="right"/>
              <w:rPr>
                <w:b/>
                <w:bCs/>
                <w:i/>
                <w:iCs/>
                <w:lang w:eastAsia="en-GB"/>
              </w:rPr>
            </w:pPr>
            <w:r w:rsidRPr="00460031">
              <w:rPr>
                <w:b/>
                <w:bCs/>
              </w:rPr>
              <w:t>£189.361</w:t>
            </w:r>
          </w:p>
        </w:tc>
        <w:tc>
          <w:tcPr>
            <w:tcW w:w="1316" w:type="dxa"/>
            <w:tcBorders>
              <w:top w:val="nil"/>
              <w:left w:val="dashed" w:sz="8" w:space="0" w:color="auto"/>
              <w:bottom w:val="single" w:sz="4" w:space="0" w:color="auto"/>
              <w:right w:val="nil"/>
            </w:tcBorders>
            <w:shd w:val="clear" w:color="auto" w:fill="auto"/>
            <w:noWrap/>
            <w:hideMark/>
          </w:tcPr>
          <w:p w14:paraId="0CBE44C9" w14:textId="672CB174" w:rsidR="00460031" w:rsidRPr="00E63641" w:rsidRDefault="00460031" w:rsidP="00460031">
            <w:pPr>
              <w:pStyle w:val="TableText"/>
              <w:jc w:val="right"/>
              <w:rPr>
                <w:lang w:eastAsia="en-GB"/>
              </w:rPr>
            </w:pPr>
            <w:r w:rsidRPr="00AA255F">
              <w:t>£4,</w:t>
            </w:r>
            <w:r w:rsidR="0012796C">
              <w:t>664.086</w:t>
            </w:r>
          </w:p>
        </w:tc>
      </w:tr>
      <w:tr w:rsidR="00460031" w:rsidRPr="00E63641" w14:paraId="72435A16" w14:textId="77777777" w:rsidTr="00460031">
        <w:trPr>
          <w:trHeight w:val="300"/>
        </w:trPr>
        <w:tc>
          <w:tcPr>
            <w:tcW w:w="2127" w:type="dxa"/>
            <w:tcBorders>
              <w:top w:val="single" w:sz="4" w:space="0" w:color="auto"/>
              <w:left w:val="nil"/>
              <w:bottom w:val="single" w:sz="4" w:space="0" w:color="auto"/>
              <w:right w:val="nil"/>
            </w:tcBorders>
            <w:shd w:val="clear" w:color="auto" w:fill="auto"/>
            <w:noWrap/>
            <w:vAlign w:val="bottom"/>
            <w:hideMark/>
          </w:tcPr>
          <w:p w14:paraId="0ACAA3CE" w14:textId="77777777" w:rsidR="00460031" w:rsidRPr="00E63641" w:rsidRDefault="00460031" w:rsidP="00460031">
            <w:pPr>
              <w:pStyle w:val="TableText"/>
              <w:rPr>
                <w:lang w:eastAsia="en-GB"/>
              </w:rPr>
            </w:pPr>
          </w:p>
        </w:tc>
        <w:tc>
          <w:tcPr>
            <w:tcW w:w="1388" w:type="dxa"/>
            <w:tcBorders>
              <w:top w:val="single" w:sz="4" w:space="0" w:color="auto"/>
              <w:left w:val="nil"/>
              <w:bottom w:val="single" w:sz="4" w:space="0" w:color="auto"/>
              <w:right w:val="nil"/>
            </w:tcBorders>
            <w:shd w:val="clear" w:color="auto" w:fill="auto"/>
            <w:noWrap/>
            <w:hideMark/>
          </w:tcPr>
          <w:p w14:paraId="1AFABC47" w14:textId="5A38E30E" w:rsidR="00460031" w:rsidRPr="00E63641" w:rsidRDefault="00460031" w:rsidP="00460031">
            <w:pPr>
              <w:pStyle w:val="TableText"/>
              <w:ind w:right="113"/>
              <w:jc w:val="right"/>
              <w:rPr>
                <w:rFonts w:cs="Times New Roman"/>
                <w:sz w:val="20"/>
                <w:szCs w:val="20"/>
                <w:lang w:eastAsia="en-GB"/>
              </w:rPr>
            </w:pPr>
            <w:r w:rsidRPr="00AA255F">
              <w:t>£</w:t>
            </w:r>
            <w:r w:rsidR="0012796C">
              <w:t>735.463</w:t>
            </w:r>
          </w:p>
        </w:tc>
        <w:tc>
          <w:tcPr>
            <w:tcW w:w="1388" w:type="dxa"/>
            <w:tcBorders>
              <w:top w:val="single" w:sz="4" w:space="0" w:color="auto"/>
              <w:left w:val="nil"/>
              <w:bottom w:val="single" w:sz="4" w:space="0" w:color="auto"/>
              <w:right w:val="nil"/>
            </w:tcBorders>
            <w:shd w:val="clear" w:color="auto" w:fill="auto"/>
            <w:noWrap/>
            <w:hideMark/>
          </w:tcPr>
          <w:p w14:paraId="2015AA3D" w14:textId="2711B85F" w:rsidR="00460031" w:rsidRPr="00E63641" w:rsidRDefault="00460031" w:rsidP="00460031">
            <w:pPr>
              <w:pStyle w:val="TableText"/>
              <w:ind w:right="113"/>
              <w:jc w:val="right"/>
              <w:rPr>
                <w:rFonts w:cs="Times New Roman"/>
                <w:sz w:val="20"/>
                <w:szCs w:val="20"/>
                <w:lang w:eastAsia="en-GB"/>
              </w:rPr>
            </w:pPr>
            <w:r w:rsidRPr="00AA255F">
              <w:t>£20.450</w:t>
            </w:r>
          </w:p>
        </w:tc>
        <w:tc>
          <w:tcPr>
            <w:tcW w:w="1388" w:type="dxa"/>
            <w:tcBorders>
              <w:top w:val="single" w:sz="4" w:space="0" w:color="auto"/>
              <w:left w:val="nil"/>
              <w:bottom w:val="single" w:sz="4" w:space="0" w:color="auto"/>
              <w:right w:val="nil"/>
            </w:tcBorders>
            <w:shd w:val="clear" w:color="auto" w:fill="auto"/>
            <w:noWrap/>
            <w:hideMark/>
          </w:tcPr>
          <w:p w14:paraId="7A30B3B5" w14:textId="5609EAD9" w:rsidR="00460031" w:rsidRPr="00E63641" w:rsidRDefault="00460031" w:rsidP="00460031">
            <w:pPr>
              <w:pStyle w:val="TableText"/>
              <w:ind w:right="113"/>
              <w:jc w:val="right"/>
              <w:rPr>
                <w:rFonts w:cs="Times New Roman"/>
                <w:sz w:val="20"/>
                <w:szCs w:val="20"/>
                <w:lang w:eastAsia="en-GB"/>
              </w:rPr>
            </w:pPr>
            <w:r w:rsidRPr="00AA255F">
              <w:t>£</w:t>
            </w:r>
            <w:r w:rsidR="0012796C">
              <w:t>5,104.796</w:t>
            </w:r>
          </w:p>
        </w:tc>
        <w:tc>
          <w:tcPr>
            <w:tcW w:w="1506" w:type="dxa"/>
            <w:tcBorders>
              <w:top w:val="single" w:sz="4" w:space="0" w:color="auto"/>
              <w:left w:val="nil"/>
              <w:bottom w:val="single" w:sz="4" w:space="0" w:color="auto"/>
              <w:right w:val="nil"/>
            </w:tcBorders>
            <w:shd w:val="clear" w:color="auto" w:fill="auto"/>
            <w:noWrap/>
            <w:hideMark/>
          </w:tcPr>
          <w:p w14:paraId="396B26E2" w14:textId="4A5D8BDC" w:rsidR="00460031" w:rsidRPr="00E63641" w:rsidRDefault="00460031" w:rsidP="00460031">
            <w:pPr>
              <w:pStyle w:val="TableText"/>
              <w:ind w:right="113"/>
              <w:jc w:val="right"/>
              <w:rPr>
                <w:rFonts w:cs="Times New Roman"/>
                <w:sz w:val="20"/>
                <w:szCs w:val="20"/>
                <w:lang w:eastAsia="en-GB"/>
              </w:rPr>
            </w:pPr>
            <w:r w:rsidRPr="00AA255F">
              <w:t>£64,</w:t>
            </w:r>
            <w:r w:rsidR="0012796C">
              <w:t>635.572</w:t>
            </w:r>
          </w:p>
        </w:tc>
        <w:tc>
          <w:tcPr>
            <w:tcW w:w="1316" w:type="dxa"/>
            <w:tcBorders>
              <w:top w:val="single" w:sz="4" w:space="0" w:color="auto"/>
              <w:left w:val="nil"/>
              <w:bottom w:val="single" w:sz="4" w:space="0" w:color="auto"/>
              <w:right w:val="nil"/>
            </w:tcBorders>
            <w:shd w:val="clear" w:color="auto" w:fill="auto"/>
            <w:noWrap/>
            <w:hideMark/>
          </w:tcPr>
          <w:p w14:paraId="5EBF76F4" w14:textId="57E512D4" w:rsidR="00460031" w:rsidRPr="00E63641" w:rsidRDefault="00460031" w:rsidP="00460031">
            <w:pPr>
              <w:pStyle w:val="TableText"/>
              <w:jc w:val="right"/>
              <w:rPr>
                <w:lang w:eastAsia="en-GB"/>
              </w:rPr>
            </w:pPr>
            <w:r w:rsidRPr="00AA255F">
              <w:t>£70,</w:t>
            </w:r>
            <w:r w:rsidR="0012796C">
              <w:t>496.281</w:t>
            </w:r>
          </w:p>
        </w:tc>
      </w:tr>
    </w:tbl>
    <w:p w14:paraId="5D9BB5B4" w14:textId="77777777" w:rsidR="00F51C95" w:rsidRPr="00F51C95" w:rsidRDefault="00F51C95" w:rsidP="00F51C95">
      <w:pPr>
        <w:pStyle w:val="AfterTableGap"/>
      </w:pPr>
    </w:p>
    <w:p w14:paraId="0BFF3F4C" w14:textId="23FAA71F" w:rsidR="000604BB" w:rsidRDefault="000604BB" w:rsidP="000604BB">
      <w:pPr>
        <w:pStyle w:val="BodyText"/>
      </w:pPr>
      <w:r w:rsidRPr="000C2E06">
        <w:t xml:space="preserve">Of course, </w:t>
      </w:r>
      <w:r>
        <w:t xml:space="preserve">some </w:t>
      </w:r>
      <w:r w:rsidRPr="000C2E06">
        <w:t xml:space="preserve">uncertainty </w:t>
      </w:r>
      <w:r>
        <w:t xml:space="preserve">also </w:t>
      </w:r>
      <w:r w:rsidRPr="000C2E06">
        <w:t xml:space="preserve">surrounds the status of the </w:t>
      </w:r>
      <w:r w:rsidR="00FA537C">
        <w:t>6,</w:t>
      </w:r>
      <w:r w:rsidR="0012796C">
        <w:t>416</w:t>
      </w:r>
      <w:r w:rsidRPr="000C2E06">
        <w:t xml:space="preserve"> non-NHS/LA organisations </w:t>
      </w:r>
      <w:r>
        <w:t xml:space="preserve">that cannot be </w:t>
      </w:r>
      <w:r w:rsidRPr="000C2E06">
        <w:t>found in the CC/CH registers (</w:t>
      </w:r>
      <w:r w:rsidR="0012796C">
        <w:t>60.7</w:t>
      </w:r>
      <w:r w:rsidRPr="000C2E06">
        <w:t xml:space="preserve">% of all suppliers). </w:t>
      </w:r>
      <w:r>
        <w:t>However, these suppliers account for only 8.</w:t>
      </w:r>
      <w:r w:rsidR="0012796C">
        <w:t>6</w:t>
      </w:r>
      <w:r>
        <w:t>% of CCG expenditure &gt;£25k and, as registered companies (including Community Interest Companies) and charities with an annual income over £10,000 are legally required to p</w:t>
      </w:r>
      <w:r w:rsidRPr="00A82FBC">
        <w:t>ublish their registration number and name on online publications</w:t>
      </w:r>
      <w:r>
        <w:t xml:space="preserve">, it seems reasonable to assume that the vast majority of </w:t>
      </w:r>
      <w:r w:rsidR="00FA537C">
        <w:t xml:space="preserve">‘significant’ </w:t>
      </w:r>
      <w:r>
        <w:t xml:space="preserve">VCSEs would be identifiable as such. </w:t>
      </w:r>
    </w:p>
    <w:p w14:paraId="744F1FCE" w14:textId="5FCE21B1" w:rsidR="00E94DB1" w:rsidRDefault="00E94DB1" w:rsidP="003E6FBC">
      <w:pPr>
        <w:pStyle w:val="Heading1"/>
      </w:pPr>
      <w:bookmarkStart w:id="28" w:name="_Ref126527408"/>
      <w:bookmarkStart w:id="29" w:name="_Toc127795206"/>
      <w:r>
        <w:t xml:space="preserve">Evaluation of manual </w:t>
      </w:r>
      <w:r w:rsidR="00FA537C">
        <w:t>interrogation/extraction</w:t>
      </w:r>
      <w:r>
        <w:t xml:space="preserve"> of expenditure data</w:t>
      </w:r>
      <w:bookmarkEnd w:id="28"/>
      <w:bookmarkEnd w:id="29"/>
    </w:p>
    <w:p w14:paraId="0B5AAE9F" w14:textId="593B768A" w:rsidR="006D528C" w:rsidRDefault="00526287" w:rsidP="000604BB">
      <w:pPr>
        <w:pStyle w:val="BodyText"/>
      </w:pPr>
      <w:r w:rsidRPr="00D65753">
        <w:t>T</w:t>
      </w:r>
      <w:r w:rsidR="000604BB" w:rsidRPr="00D65753">
        <w:t>he &gt;£25 CCG accounts provide a</w:t>
      </w:r>
      <w:r w:rsidRPr="00D65753">
        <w:t xml:space="preserve"> </w:t>
      </w:r>
      <w:r w:rsidR="00126AE2">
        <w:t xml:space="preserve">reasonable </w:t>
      </w:r>
      <w:r w:rsidR="000604BB" w:rsidRPr="00D65753">
        <w:t xml:space="preserve">basis for analysing expenditure patterns, though </w:t>
      </w:r>
      <w:r w:rsidR="005533C6">
        <w:t xml:space="preserve">they do </w:t>
      </w:r>
      <w:r w:rsidR="000604BB" w:rsidRPr="00D65753">
        <w:t xml:space="preserve">require </w:t>
      </w:r>
      <w:r w:rsidR="0045120F" w:rsidRPr="00D65753">
        <w:t xml:space="preserve">significant Freedom of Information </w:t>
      </w:r>
      <w:r w:rsidR="00AF3A82" w:rsidRPr="00D65753">
        <w:t xml:space="preserve">effort </w:t>
      </w:r>
      <w:r w:rsidR="0045120F" w:rsidRPr="00D65753">
        <w:t xml:space="preserve">and </w:t>
      </w:r>
      <w:r w:rsidR="000604BB" w:rsidRPr="00D65753">
        <w:t>an enormous amount of time</w:t>
      </w:r>
      <w:r w:rsidR="0045120F" w:rsidRPr="00D65753">
        <w:t xml:space="preserve"> to </w:t>
      </w:r>
      <w:r w:rsidR="000604BB" w:rsidRPr="00D65753">
        <w:t>manual</w:t>
      </w:r>
      <w:r w:rsidR="0045120F" w:rsidRPr="00D65753">
        <w:t>ly</w:t>
      </w:r>
      <w:r w:rsidR="000604BB" w:rsidRPr="00D65753">
        <w:t xml:space="preserve"> interrogat</w:t>
      </w:r>
      <w:r w:rsidR="0045120F" w:rsidRPr="00D65753">
        <w:t xml:space="preserve">e the </w:t>
      </w:r>
      <w:r w:rsidR="000604BB" w:rsidRPr="00D65753">
        <w:t xml:space="preserve">data. </w:t>
      </w:r>
      <w:r w:rsidR="00AF3A82" w:rsidRPr="00D65753">
        <w:t>T</w:t>
      </w:r>
      <w:r w:rsidR="0045120F" w:rsidRPr="00D65753">
        <w:t xml:space="preserve">he </w:t>
      </w:r>
      <w:r w:rsidR="00126AE2">
        <w:t>importance</w:t>
      </w:r>
      <w:r w:rsidR="00AF3A82" w:rsidRPr="00D65753">
        <w:t xml:space="preserve"> </w:t>
      </w:r>
      <w:r w:rsidR="00DA1E1A" w:rsidRPr="00D65753">
        <w:t xml:space="preserve">of </w:t>
      </w:r>
      <w:r w:rsidR="00E0214C" w:rsidRPr="00D65753">
        <w:t xml:space="preserve">this </w:t>
      </w:r>
      <w:r w:rsidR="005533C6">
        <w:t xml:space="preserve">intensive </w:t>
      </w:r>
      <w:r w:rsidR="00E0214C" w:rsidRPr="00D65753">
        <w:t xml:space="preserve">approach </w:t>
      </w:r>
      <w:r w:rsidR="005533C6">
        <w:t xml:space="preserve">is </w:t>
      </w:r>
      <w:r w:rsidR="00AF3A82" w:rsidRPr="00D65753">
        <w:t xml:space="preserve">demonstrated by comparing the resulting dataset with expenditure data </w:t>
      </w:r>
      <w:r w:rsidR="0045120F" w:rsidRPr="00D65753">
        <w:t xml:space="preserve">collected as part of </w:t>
      </w:r>
      <w:r w:rsidR="005533C6">
        <w:t>the</w:t>
      </w:r>
      <w:r w:rsidR="0045120F" w:rsidRPr="00D65753">
        <w:t xml:space="preserve"> </w:t>
      </w:r>
      <w:r w:rsidR="00CA2639" w:rsidRPr="00721947">
        <w:rPr>
          <w:i/>
          <w:iCs/>
        </w:rPr>
        <w:t>NHS Spend</w:t>
      </w:r>
      <w:r w:rsidR="00CA2639" w:rsidRPr="00D65753">
        <w:t xml:space="preserve"> project</w:t>
      </w:r>
      <w:r w:rsidR="00CA2639" w:rsidRPr="00D65753">
        <w:rPr>
          <w:rStyle w:val="FootnoteReference"/>
        </w:rPr>
        <w:footnoteReference w:id="14"/>
      </w:r>
      <w:r w:rsidR="003E3706">
        <w:t xml:space="preserve">. This </w:t>
      </w:r>
      <w:r w:rsidR="00CA2639" w:rsidRPr="00D65753">
        <w:t xml:space="preserve">used </w:t>
      </w:r>
      <w:r w:rsidR="0006500E">
        <w:t xml:space="preserve">fully </w:t>
      </w:r>
      <w:r w:rsidR="00FA004F" w:rsidRPr="00D65753">
        <w:t>automated data scraping</w:t>
      </w:r>
      <w:r w:rsidR="00E0214C" w:rsidRPr="00D65753">
        <w:t xml:space="preserve"> </w:t>
      </w:r>
      <w:r w:rsidR="00FA004F" w:rsidRPr="00D65753">
        <w:t xml:space="preserve">methods to </w:t>
      </w:r>
      <w:r w:rsidR="005533C6">
        <w:t xml:space="preserve">interrogate </w:t>
      </w:r>
      <w:r w:rsidR="00FA004F" w:rsidRPr="00D65753">
        <w:t>NHS trust and CCG</w:t>
      </w:r>
      <w:r w:rsidR="005533C6">
        <w:t xml:space="preserve"> account</w:t>
      </w:r>
      <w:r w:rsidR="00FA004F" w:rsidRPr="00D65753">
        <w:t>s</w:t>
      </w:r>
      <w:r w:rsidR="00CA2639" w:rsidRPr="00D65753">
        <w:t xml:space="preserve"> </w:t>
      </w:r>
      <w:r w:rsidR="003E3706">
        <w:t xml:space="preserve">between </w:t>
      </w:r>
      <w:r w:rsidR="00CA2639" w:rsidRPr="00D65753">
        <w:t xml:space="preserve">2010 </w:t>
      </w:r>
      <w:r w:rsidR="003E3706">
        <w:t>and</w:t>
      </w:r>
      <w:r w:rsidR="00CA2639" w:rsidRPr="00D65753">
        <w:t xml:space="preserve"> 2020</w:t>
      </w:r>
      <w:r w:rsidR="003E3706">
        <w:t xml:space="preserve">. For 2018-19 spending </w:t>
      </w:r>
      <w:r w:rsidR="00CA2639" w:rsidRPr="00D65753">
        <w:t>d</w:t>
      </w:r>
      <w:r w:rsidR="00D81C1D" w:rsidRPr="00D65753">
        <w:t xml:space="preserve">ata </w:t>
      </w:r>
      <w:r w:rsidR="00415064">
        <w:t xml:space="preserve">was obtained </w:t>
      </w:r>
      <w:r w:rsidR="00E0214C" w:rsidRPr="00D65753">
        <w:t>for only 1</w:t>
      </w:r>
      <w:r w:rsidR="00415064">
        <w:t>29</w:t>
      </w:r>
      <w:r w:rsidR="00E0214C" w:rsidRPr="00D65753">
        <w:t xml:space="preserve"> CCGs, </w:t>
      </w:r>
      <w:r w:rsidR="003E3706">
        <w:t xml:space="preserve">with </w:t>
      </w:r>
      <w:r w:rsidR="003E3706" w:rsidRPr="00D65753">
        <w:rPr>
          <w:color w:val="000000"/>
          <w:lang w:eastAsia="en-GB"/>
        </w:rPr>
        <w:t>117</w:t>
      </w:r>
      <w:r w:rsidR="003E3706">
        <w:rPr>
          <w:color w:val="000000"/>
          <w:lang w:eastAsia="en-GB"/>
        </w:rPr>
        <w:t>,</w:t>
      </w:r>
      <w:r w:rsidR="003E3706" w:rsidRPr="00D65753">
        <w:rPr>
          <w:color w:val="000000"/>
          <w:lang w:eastAsia="en-GB"/>
        </w:rPr>
        <w:t>933</w:t>
      </w:r>
      <w:r w:rsidR="003E3706">
        <w:rPr>
          <w:color w:val="000000"/>
          <w:lang w:eastAsia="en-GB"/>
        </w:rPr>
        <w:t xml:space="preserve"> </w:t>
      </w:r>
      <w:r w:rsidR="003E3706">
        <w:t>invoices</w:t>
      </w:r>
      <w:r w:rsidR="003E3706" w:rsidRPr="00D65753">
        <w:t xml:space="preserve"> </w:t>
      </w:r>
      <w:r w:rsidR="003E3706">
        <w:t xml:space="preserve">over £25k (totalling </w:t>
      </w:r>
      <w:r w:rsidR="003E3706" w:rsidRPr="00D65753">
        <w:t>£37.52</w:t>
      </w:r>
      <w:r w:rsidR="003E3706">
        <w:t>8</w:t>
      </w:r>
      <w:r w:rsidR="003E3706" w:rsidRPr="00D65753">
        <w:t xml:space="preserve"> billion</w:t>
      </w:r>
      <w:r w:rsidR="003E3706">
        <w:t>)</w:t>
      </w:r>
      <w:r w:rsidR="003E3706" w:rsidRPr="00D65753">
        <w:t xml:space="preserve"> </w:t>
      </w:r>
      <w:r w:rsidR="00F4458C">
        <w:t>referring</w:t>
      </w:r>
      <w:r w:rsidR="00F97B9F">
        <w:t xml:space="preserve"> to</w:t>
      </w:r>
      <w:r w:rsidR="00D81C1D" w:rsidRPr="00D65753">
        <w:t xml:space="preserve"> 13,</w:t>
      </w:r>
      <w:r w:rsidR="00D65753">
        <w:t>090</w:t>
      </w:r>
      <w:r w:rsidR="00D81C1D" w:rsidRPr="00D65753">
        <w:t xml:space="preserve"> named suppliers. </w:t>
      </w:r>
      <w:r w:rsidR="006D528C" w:rsidRPr="00D65753">
        <w:t xml:space="preserve">As detailed in </w:t>
      </w:r>
      <w:r w:rsidR="006D528C" w:rsidRPr="00D65753">
        <w:fldChar w:fldCharType="begin"/>
      </w:r>
      <w:r w:rsidR="006D528C" w:rsidRPr="00D65753">
        <w:instrText xml:space="preserve"> REF _Ref123713701 \h </w:instrText>
      </w:r>
      <w:r w:rsidR="006D528C">
        <w:instrText xml:space="preserve"> \* MERGEFORMAT </w:instrText>
      </w:r>
      <w:r w:rsidR="006D528C" w:rsidRPr="00D65753">
        <w:fldChar w:fldCharType="separate"/>
      </w:r>
      <w:r w:rsidR="00842C06">
        <w:t xml:space="preserve">Table </w:t>
      </w:r>
      <w:r w:rsidR="00842C06">
        <w:rPr>
          <w:noProof/>
        </w:rPr>
        <w:t>5</w:t>
      </w:r>
      <w:r w:rsidR="006D528C" w:rsidRPr="00D65753">
        <w:fldChar w:fldCharType="end"/>
      </w:r>
      <w:r w:rsidR="006D528C" w:rsidRPr="00D65753">
        <w:t xml:space="preserve"> below, </w:t>
      </w:r>
      <w:r w:rsidR="006D528C">
        <w:t>t</w:t>
      </w:r>
      <w:r w:rsidR="00D65753">
        <w:t xml:space="preserve">his is substantially </w:t>
      </w:r>
      <w:r w:rsidR="00D65753" w:rsidRPr="00D65753">
        <w:t xml:space="preserve">less than has been achieved in the </w:t>
      </w:r>
      <w:r w:rsidR="00D65753">
        <w:t>current project</w:t>
      </w:r>
      <w:r w:rsidR="002F4B1D">
        <w:t xml:space="preserve"> – largely </w:t>
      </w:r>
      <w:r w:rsidR="00CF46D4">
        <w:t xml:space="preserve">through </w:t>
      </w:r>
      <w:r w:rsidR="002F4B1D">
        <w:t xml:space="preserve">persistent FoI </w:t>
      </w:r>
      <w:r w:rsidR="00CF46D4">
        <w:t>requests</w:t>
      </w:r>
      <w:r w:rsidR="005533C6">
        <w:t>. A detailed review of the collated accounts soon reveals</w:t>
      </w:r>
      <w:r w:rsidR="00D65753">
        <w:t xml:space="preserve">, </w:t>
      </w:r>
      <w:r w:rsidR="005533C6">
        <w:t xml:space="preserve">moreover, that </w:t>
      </w:r>
      <w:r w:rsidR="00415064">
        <w:t xml:space="preserve">the </w:t>
      </w:r>
      <w:r w:rsidR="00D65753">
        <w:t xml:space="preserve">automated data scraping </w:t>
      </w:r>
      <w:r w:rsidR="00415064">
        <w:t xml:space="preserve">process </w:t>
      </w:r>
      <w:r w:rsidR="00D65753">
        <w:t xml:space="preserve">resulted in </w:t>
      </w:r>
      <w:r w:rsidR="00415064">
        <w:t xml:space="preserve">a number of </w:t>
      </w:r>
      <w:r w:rsidR="00F97B9F">
        <w:t xml:space="preserve">significant </w:t>
      </w:r>
      <w:r w:rsidR="00D65753">
        <w:t>errors</w:t>
      </w:r>
      <w:r w:rsidR="006D528C">
        <w:rPr>
          <w:rStyle w:val="FootnoteReference"/>
        </w:rPr>
        <w:footnoteReference w:id="15"/>
      </w:r>
      <w:r w:rsidR="00D65753">
        <w:t xml:space="preserve">. </w:t>
      </w:r>
    </w:p>
    <w:p w14:paraId="20184881" w14:textId="35269A76" w:rsidR="00CA2639" w:rsidRDefault="00CA2639" w:rsidP="00CA2639">
      <w:pPr>
        <w:pStyle w:val="TableCaption"/>
      </w:pPr>
      <w:bookmarkStart w:id="30" w:name="_Ref123713701"/>
      <w:bookmarkStart w:id="31" w:name="_Toc127795216"/>
      <w:r>
        <w:lastRenderedPageBreak/>
        <w:t xml:space="preserve">Table </w:t>
      </w:r>
      <w:fldSimple w:instr=" SEQ Table \* ARABIC ">
        <w:r w:rsidR="00842C06">
          <w:rPr>
            <w:noProof/>
          </w:rPr>
          <w:t>5</w:t>
        </w:r>
      </w:fldSimple>
      <w:bookmarkEnd w:id="30"/>
      <w:r>
        <w:t xml:space="preserve">: Comparison </w:t>
      </w:r>
      <w:r w:rsidR="0006500E">
        <w:t xml:space="preserve">of </w:t>
      </w:r>
      <w:r w:rsidR="00D17044">
        <w:t xml:space="preserve">data collected by the </w:t>
      </w:r>
      <w:r>
        <w:t xml:space="preserve">‘NHS Spend’ </w:t>
      </w:r>
      <w:r w:rsidR="00D17044">
        <w:t xml:space="preserve">and </w:t>
      </w:r>
      <w:r w:rsidR="0006500E">
        <w:t>3SC</w:t>
      </w:r>
      <w:r w:rsidR="0006500E" w:rsidRPr="0006500E">
        <w:rPr>
          <w:vertAlign w:val="superscript"/>
        </w:rPr>
        <w:t>†</w:t>
      </w:r>
      <w:r w:rsidR="0006500E">
        <w:t xml:space="preserve"> </w:t>
      </w:r>
      <w:proofErr w:type="gramStart"/>
      <w:r w:rsidR="00D17044">
        <w:t>projects</w:t>
      </w:r>
      <w:bookmarkEnd w:id="31"/>
      <w:proofErr w:type="gramEnd"/>
    </w:p>
    <w:tbl>
      <w:tblPr>
        <w:tblW w:w="7230" w:type="dxa"/>
        <w:tblLook w:val="04A0" w:firstRow="1" w:lastRow="0" w:firstColumn="1" w:lastColumn="0" w:noHBand="0" w:noVBand="1"/>
      </w:tblPr>
      <w:tblGrid>
        <w:gridCol w:w="1985"/>
        <w:gridCol w:w="1559"/>
        <w:gridCol w:w="1560"/>
        <w:gridCol w:w="2126"/>
      </w:tblGrid>
      <w:tr w:rsidR="006D528C" w:rsidRPr="006D528C" w14:paraId="3D60F3BC" w14:textId="77777777" w:rsidTr="00F97B9F">
        <w:trPr>
          <w:trHeight w:val="300"/>
        </w:trPr>
        <w:tc>
          <w:tcPr>
            <w:tcW w:w="1985" w:type="dxa"/>
            <w:tcBorders>
              <w:top w:val="nil"/>
              <w:left w:val="nil"/>
              <w:right w:val="nil"/>
            </w:tcBorders>
            <w:shd w:val="clear" w:color="auto" w:fill="auto"/>
            <w:noWrap/>
            <w:vAlign w:val="bottom"/>
            <w:hideMark/>
          </w:tcPr>
          <w:p w14:paraId="7006A286" w14:textId="77777777" w:rsidR="006D528C" w:rsidRPr="006D528C" w:rsidRDefault="006D528C" w:rsidP="006D528C">
            <w:pPr>
              <w:pStyle w:val="TableText"/>
              <w:jc w:val="center"/>
            </w:pPr>
          </w:p>
        </w:tc>
        <w:tc>
          <w:tcPr>
            <w:tcW w:w="5245" w:type="dxa"/>
            <w:gridSpan w:val="3"/>
            <w:tcBorders>
              <w:top w:val="nil"/>
              <w:left w:val="nil"/>
              <w:bottom w:val="single" w:sz="4" w:space="0" w:color="auto"/>
              <w:right w:val="nil"/>
            </w:tcBorders>
            <w:shd w:val="clear" w:color="auto" w:fill="auto"/>
            <w:noWrap/>
            <w:vAlign w:val="bottom"/>
            <w:hideMark/>
          </w:tcPr>
          <w:p w14:paraId="1802C58A" w14:textId="5C65F935" w:rsidR="006D528C" w:rsidRPr="006D528C" w:rsidRDefault="006D528C" w:rsidP="006D528C">
            <w:pPr>
              <w:pStyle w:val="TableText"/>
              <w:jc w:val="center"/>
            </w:pPr>
            <w:r w:rsidRPr="006D528C">
              <w:t>Invoices &gt;</w:t>
            </w:r>
            <w:r w:rsidR="00B84BEE">
              <w:t>£</w:t>
            </w:r>
            <w:r w:rsidRPr="006D528C">
              <w:t>25k</w:t>
            </w:r>
          </w:p>
        </w:tc>
      </w:tr>
      <w:tr w:rsidR="006D528C" w:rsidRPr="006D528C" w14:paraId="7E646F80" w14:textId="77777777" w:rsidTr="00F97B9F">
        <w:trPr>
          <w:trHeight w:val="300"/>
        </w:trPr>
        <w:tc>
          <w:tcPr>
            <w:tcW w:w="1985" w:type="dxa"/>
            <w:tcBorders>
              <w:top w:val="nil"/>
              <w:left w:val="nil"/>
              <w:bottom w:val="single" w:sz="4" w:space="0" w:color="auto"/>
              <w:right w:val="nil"/>
            </w:tcBorders>
            <w:shd w:val="clear" w:color="auto" w:fill="auto"/>
            <w:noWrap/>
            <w:vAlign w:val="bottom"/>
            <w:hideMark/>
          </w:tcPr>
          <w:p w14:paraId="4B733A67" w14:textId="77777777" w:rsidR="006D528C" w:rsidRPr="006D528C" w:rsidRDefault="006D528C" w:rsidP="006D528C">
            <w:pPr>
              <w:pStyle w:val="TableText"/>
              <w:jc w:val="center"/>
            </w:pPr>
          </w:p>
        </w:tc>
        <w:tc>
          <w:tcPr>
            <w:tcW w:w="1559" w:type="dxa"/>
            <w:tcBorders>
              <w:top w:val="nil"/>
              <w:left w:val="nil"/>
              <w:bottom w:val="single" w:sz="4" w:space="0" w:color="auto"/>
              <w:right w:val="nil"/>
            </w:tcBorders>
            <w:shd w:val="clear" w:color="auto" w:fill="auto"/>
            <w:noWrap/>
            <w:vAlign w:val="bottom"/>
            <w:hideMark/>
          </w:tcPr>
          <w:p w14:paraId="224D0B06" w14:textId="7A940E14" w:rsidR="006D528C" w:rsidRPr="005C6BAD" w:rsidRDefault="006D528C" w:rsidP="006D528C">
            <w:pPr>
              <w:pStyle w:val="TableText"/>
              <w:jc w:val="center"/>
              <w:rPr>
                <w:i/>
                <w:iCs/>
              </w:rPr>
            </w:pPr>
            <w:r w:rsidRPr="005C6BAD">
              <w:rPr>
                <w:i/>
                <w:iCs/>
              </w:rPr>
              <w:t>NHS Spend Project</w:t>
            </w:r>
          </w:p>
        </w:tc>
        <w:tc>
          <w:tcPr>
            <w:tcW w:w="1560" w:type="dxa"/>
            <w:tcBorders>
              <w:top w:val="nil"/>
              <w:left w:val="nil"/>
              <w:bottom w:val="single" w:sz="4" w:space="0" w:color="auto"/>
              <w:right w:val="nil"/>
            </w:tcBorders>
            <w:shd w:val="clear" w:color="auto" w:fill="auto"/>
            <w:noWrap/>
            <w:vAlign w:val="bottom"/>
            <w:hideMark/>
          </w:tcPr>
          <w:p w14:paraId="00ACBBCD" w14:textId="77777777" w:rsidR="006D528C" w:rsidRPr="005C6BAD" w:rsidRDefault="006D528C" w:rsidP="006D528C">
            <w:pPr>
              <w:pStyle w:val="TableText"/>
              <w:jc w:val="center"/>
              <w:rPr>
                <w:i/>
                <w:iCs/>
              </w:rPr>
            </w:pPr>
            <w:r w:rsidRPr="005C6BAD">
              <w:rPr>
                <w:i/>
                <w:iCs/>
              </w:rPr>
              <w:t>3SC Project</w:t>
            </w:r>
          </w:p>
        </w:tc>
        <w:tc>
          <w:tcPr>
            <w:tcW w:w="2126" w:type="dxa"/>
            <w:tcBorders>
              <w:top w:val="nil"/>
              <w:left w:val="nil"/>
              <w:bottom w:val="single" w:sz="4" w:space="0" w:color="auto"/>
              <w:right w:val="nil"/>
            </w:tcBorders>
            <w:shd w:val="clear" w:color="auto" w:fill="auto"/>
            <w:noWrap/>
            <w:vAlign w:val="bottom"/>
            <w:hideMark/>
          </w:tcPr>
          <w:p w14:paraId="7DAD5A0C" w14:textId="3028366F" w:rsidR="006D528C" w:rsidRPr="006D528C" w:rsidRDefault="00DC57A2" w:rsidP="006D528C">
            <w:pPr>
              <w:pStyle w:val="TableText"/>
              <w:jc w:val="center"/>
            </w:pPr>
            <w:r>
              <w:t>%</w:t>
            </w:r>
            <w:r w:rsidR="00FA537C">
              <w:t xml:space="preserve"> </w:t>
            </w:r>
            <w:proofErr w:type="gramStart"/>
            <w:r w:rsidR="006D528C" w:rsidRPr="006D528C">
              <w:t>captured</w:t>
            </w:r>
            <w:proofErr w:type="gramEnd"/>
            <w:r w:rsidR="00FA537C">
              <w:t xml:space="preserve"> </w:t>
            </w:r>
            <w:r w:rsidR="005533C6">
              <w:t xml:space="preserve">by </w:t>
            </w:r>
            <w:r w:rsidR="005533C6" w:rsidRPr="005C6BAD">
              <w:rPr>
                <w:i/>
                <w:iCs/>
              </w:rPr>
              <w:t>NHS Spend Projec</w:t>
            </w:r>
            <w:r w:rsidR="005533C6">
              <w:t>t</w:t>
            </w:r>
          </w:p>
        </w:tc>
      </w:tr>
      <w:tr w:rsidR="006D528C" w:rsidRPr="006D528C" w14:paraId="76B15035" w14:textId="77777777" w:rsidTr="00F97B9F">
        <w:trPr>
          <w:trHeight w:val="300"/>
        </w:trPr>
        <w:tc>
          <w:tcPr>
            <w:tcW w:w="1985" w:type="dxa"/>
            <w:tcBorders>
              <w:top w:val="single" w:sz="4" w:space="0" w:color="auto"/>
              <w:left w:val="nil"/>
              <w:bottom w:val="nil"/>
              <w:right w:val="nil"/>
            </w:tcBorders>
            <w:shd w:val="clear" w:color="auto" w:fill="auto"/>
            <w:noWrap/>
            <w:vAlign w:val="bottom"/>
            <w:hideMark/>
          </w:tcPr>
          <w:p w14:paraId="6E167184" w14:textId="77777777" w:rsidR="006D528C" w:rsidRPr="006D528C" w:rsidRDefault="006D528C" w:rsidP="006D528C">
            <w:pPr>
              <w:pStyle w:val="TableText"/>
            </w:pPr>
            <w:r w:rsidRPr="006D528C">
              <w:t>CCGs</w:t>
            </w:r>
          </w:p>
        </w:tc>
        <w:tc>
          <w:tcPr>
            <w:tcW w:w="1559" w:type="dxa"/>
            <w:tcBorders>
              <w:top w:val="single" w:sz="4" w:space="0" w:color="auto"/>
              <w:left w:val="nil"/>
              <w:bottom w:val="nil"/>
              <w:right w:val="nil"/>
            </w:tcBorders>
            <w:shd w:val="clear" w:color="auto" w:fill="auto"/>
            <w:noWrap/>
            <w:vAlign w:val="bottom"/>
            <w:hideMark/>
          </w:tcPr>
          <w:p w14:paraId="594380E9" w14:textId="4ED908DB" w:rsidR="006D528C" w:rsidRPr="006D528C" w:rsidRDefault="006D528C" w:rsidP="006D528C">
            <w:pPr>
              <w:pStyle w:val="TableText"/>
              <w:ind w:right="170"/>
              <w:jc w:val="right"/>
            </w:pPr>
            <w:r w:rsidRPr="006D528C">
              <w:t>129</w:t>
            </w:r>
          </w:p>
        </w:tc>
        <w:tc>
          <w:tcPr>
            <w:tcW w:w="1560" w:type="dxa"/>
            <w:tcBorders>
              <w:top w:val="single" w:sz="4" w:space="0" w:color="auto"/>
              <w:left w:val="nil"/>
              <w:bottom w:val="nil"/>
              <w:right w:val="nil"/>
            </w:tcBorders>
            <w:shd w:val="clear" w:color="auto" w:fill="auto"/>
            <w:noWrap/>
            <w:vAlign w:val="bottom"/>
            <w:hideMark/>
          </w:tcPr>
          <w:p w14:paraId="0DB55652" w14:textId="77777777" w:rsidR="006D528C" w:rsidRPr="006D528C" w:rsidRDefault="006D528C" w:rsidP="006D528C">
            <w:pPr>
              <w:pStyle w:val="TableText"/>
              <w:ind w:right="170"/>
              <w:jc w:val="right"/>
            </w:pPr>
            <w:r w:rsidRPr="006D528C">
              <w:t>189</w:t>
            </w:r>
          </w:p>
        </w:tc>
        <w:tc>
          <w:tcPr>
            <w:tcW w:w="2126" w:type="dxa"/>
            <w:tcBorders>
              <w:top w:val="single" w:sz="4" w:space="0" w:color="auto"/>
              <w:left w:val="nil"/>
              <w:bottom w:val="nil"/>
              <w:right w:val="nil"/>
            </w:tcBorders>
            <w:shd w:val="clear" w:color="auto" w:fill="auto"/>
            <w:noWrap/>
            <w:vAlign w:val="bottom"/>
            <w:hideMark/>
          </w:tcPr>
          <w:p w14:paraId="00BD3BF1" w14:textId="77777777" w:rsidR="006D528C" w:rsidRPr="006D528C" w:rsidRDefault="006D528C" w:rsidP="006D528C">
            <w:pPr>
              <w:pStyle w:val="TableText"/>
              <w:jc w:val="center"/>
            </w:pPr>
            <w:r w:rsidRPr="006D528C">
              <w:t>68.3%</w:t>
            </w:r>
          </w:p>
        </w:tc>
      </w:tr>
      <w:tr w:rsidR="006D528C" w:rsidRPr="006D528C" w14:paraId="55D66D18" w14:textId="77777777" w:rsidTr="00F97B9F">
        <w:trPr>
          <w:trHeight w:val="300"/>
        </w:trPr>
        <w:tc>
          <w:tcPr>
            <w:tcW w:w="1985" w:type="dxa"/>
            <w:tcBorders>
              <w:top w:val="nil"/>
              <w:left w:val="nil"/>
              <w:bottom w:val="nil"/>
              <w:right w:val="nil"/>
            </w:tcBorders>
            <w:shd w:val="clear" w:color="auto" w:fill="auto"/>
            <w:noWrap/>
            <w:vAlign w:val="bottom"/>
            <w:hideMark/>
          </w:tcPr>
          <w:p w14:paraId="0B5F0249" w14:textId="77777777" w:rsidR="006D528C" w:rsidRPr="006D528C" w:rsidRDefault="006D528C" w:rsidP="006D528C">
            <w:pPr>
              <w:pStyle w:val="TableText"/>
            </w:pPr>
            <w:r w:rsidRPr="006D528C">
              <w:t>Invoices</w:t>
            </w:r>
          </w:p>
        </w:tc>
        <w:tc>
          <w:tcPr>
            <w:tcW w:w="1559" w:type="dxa"/>
            <w:tcBorders>
              <w:top w:val="nil"/>
              <w:left w:val="nil"/>
              <w:bottom w:val="nil"/>
              <w:right w:val="nil"/>
            </w:tcBorders>
            <w:shd w:val="clear" w:color="auto" w:fill="auto"/>
            <w:noWrap/>
            <w:vAlign w:val="bottom"/>
            <w:hideMark/>
          </w:tcPr>
          <w:p w14:paraId="486C1281" w14:textId="713914FB" w:rsidR="006D528C" w:rsidRPr="006D528C" w:rsidRDefault="006D528C" w:rsidP="006D528C">
            <w:pPr>
              <w:pStyle w:val="TableText"/>
              <w:ind w:right="170"/>
              <w:jc w:val="right"/>
            </w:pPr>
            <w:r w:rsidRPr="006D528C">
              <w:t>117</w:t>
            </w:r>
            <w:r w:rsidR="001D6852">
              <w:t>,</w:t>
            </w:r>
            <w:r w:rsidRPr="006D528C">
              <w:t>933</w:t>
            </w:r>
          </w:p>
        </w:tc>
        <w:tc>
          <w:tcPr>
            <w:tcW w:w="1560" w:type="dxa"/>
            <w:tcBorders>
              <w:top w:val="nil"/>
              <w:left w:val="nil"/>
              <w:bottom w:val="nil"/>
              <w:right w:val="nil"/>
            </w:tcBorders>
            <w:shd w:val="clear" w:color="auto" w:fill="auto"/>
            <w:noWrap/>
            <w:vAlign w:val="bottom"/>
            <w:hideMark/>
          </w:tcPr>
          <w:p w14:paraId="750EA91D" w14:textId="061105BF" w:rsidR="006D528C" w:rsidRPr="006D528C" w:rsidRDefault="0012796C" w:rsidP="006D528C">
            <w:pPr>
              <w:pStyle w:val="TableText"/>
              <w:ind w:right="170"/>
              <w:jc w:val="right"/>
            </w:pPr>
            <w:r>
              <w:t>225,889</w:t>
            </w:r>
          </w:p>
        </w:tc>
        <w:tc>
          <w:tcPr>
            <w:tcW w:w="2126" w:type="dxa"/>
            <w:tcBorders>
              <w:top w:val="nil"/>
              <w:left w:val="nil"/>
              <w:bottom w:val="nil"/>
              <w:right w:val="nil"/>
            </w:tcBorders>
            <w:shd w:val="clear" w:color="auto" w:fill="auto"/>
            <w:noWrap/>
            <w:vAlign w:val="bottom"/>
            <w:hideMark/>
          </w:tcPr>
          <w:p w14:paraId="4E7ABDF6" w14:textId="77777777" w:rsidR="006D528C" w:rsidRPr="006D528C" w:rsidRDefault="006D528C" w:rsidP="006D528C">
            <w:pPr>
              <w:pStyle w:val="TableText"/>
              <w:jc w:val="center"/>
            </w:pPr>
            <w:r w:rsidRPr="006D528C">
              <w:t>52.2%</w:t>
            </w:r>
          </w:p>
        </w:tc>
      </w:tr>
      <w:tr w:rsidR="006D528C" w:rsidRPr="006D528C" w14:paraId="0DA02B7C" w14:textId="77777777" w:rsidTr="00F97B9F">
        <w:trPr>
          <w:trHeight w:val="300"/>
        </w:trPr>
        <w:tc>
          <w:tcPr>
            <w:tcW w:w="1985" w:type="dxa"/>
            <w:tcBorders>
              <w:top w:val="nil"/>
              <w:left w:val="nil"/>
              <w:right w:val="nil"/>
            </w:tcBorders>
            <w:shd w:val="clear" w:color="auto" w:fill="auto"/>
            <w:noWrap/>
            <w:vAlign w:val="bottom"/>
            <w:hideMark/>
          </w:tcPr>
          <w:p w14:paraId="1E240CAF" w14:textId="77777777" w:rsidR="006D528C" w:rsidRPr="006D528C" w:rsidRDefault="006D528C" w:rsidP="006D528C">
            <w:pPr>
              <w:pStyle w:val="TableText"/>
            </w:pPr>
            <w:r w:rsidRPr="006D528C">
              <w:t>Expenditure</w:t>
            </w:r>
          </w:p>
        </w:tc>
        <w:tc>
          <w:tcPr>
            <w:tcW w:w="1559" w:type="dxa"/>
            <w:tcBorders>
              <w:top w:val="nil"/>
              <w:left w:val="nil"/>
              <w:right w:val="nil"/>
            </w:tcBorders>
            <w:shd w:val="clear" w:color="auto" w:fill="auto"/>
            <w:noWrap/>
            <w:vAlign w:val="bottom"/>
            <w:hideMark/>
          </w:tcPr>
          <w:p w14:paraId="4134E60E" w14:textId="069EC0B0" w:rsidR="006D528C" w:rsidRPr="006D528C" w:rsidRDefault="006D528C" w:rsidP="006D528C">
            <w:pPr>
              <w:pStyle w:val="TableText"/>
              <w:ind w:right="170"/>
              <w:jc w:val="right"/>
            </w:pPr>
            <w:r w:rsidRPr="006D528C">
              <w:t>£37.528bn.</w:t>
            </w:r>
          </w:p>
        </w:tc>
        <w:tc>
          <w:tcPr>
            <w:tcW w:w="1560" w:type="dxa"/>
            <w:tcBorders>
              <w:top w:val="nil"/>
              <w:left w:val="nil"/>
              <w:right w:val="nil"/>
            </w:tcBorders>
            <w:shd w:val="clear" w:color="auto" w:fill="auto"/>
            <w:noWrap/>
            <w:vAlign w:val="bottom"/>
            <w:hideMark/>
          </w:tcPr>
          <w:p w14:paraId="256A77DD" w14:textId="077792EC" w:rsidR="006D528C" w:rsidRPr="006D528C" w:rsidRDefault="006D528C" w:rsidP="006D528C">
            <w:pPr>
              <w:pStyle w:val="TableText"/>
              <w:ind w:right="170"/>
              <w:jc w:val="right"/>
            </w:pPr>
            <w:r w:rsidRPr="006D528C">
              <w:t>£70.</w:t>
            </w:r>
            <w:r w:rsidR="0012796C">
              <w:t>496</w:t>
            </w:r>
            <w:r w:rsidRPr="006D528C">
              <w:t>bn.</w:t>
            </w:r>
          </w:p>
        </w:tc>
        <w:tc>
          <w:tcPr>
            <w:tcW w:w="2126" w:type="dxa"/>
            <w:tcBorders>
              <w:top w:val="nil"/>
              <w:left w:val="nil"/>
              <w:right w:val="nil"/>
            </w:tcBorders>
            <w:shd w:val="clear" w:color="auto" w:fill="auto"/>
            <w:noWrap/>
            <w:vAlign w:val="bottom"/>
            <w:hideMark/>
          </w:tcPr>
          <w:p w14:paraId="00851C6D" w14:textId="77777777" w:rsidR="006D528C" w:rsidRPr="006D528C" w:rsidRDefault="006D528C" w:rsidP="006D528C">
            <w:pPr>
              <w:pStyle w:val="TableText"/>
              <w:jc w:val="center"/>
            </w:pPr>
            <w:r w:rsidRPr="006D528C">
              <w:t>53.2%</w:t>
            </w:r>
          </w:p>
        </w:tc>
      </w:tr>
      <w:tr w:rsidR="006D528C" w:rsidRPr="006D528C" w14:paraId="0C6D7433" w14:textId="77777777" w:rsidTr="00F97B9F">
        <w:trPr>
          <w:trHeight w:val="300"/>
        </w:trPr>
        <w:tc>
          <w:tcPr>
            <w:tcW w:w="1985" w:type="dxa"/>
            <w:tcBorders>
              <w:top w:val="nil"/>
              <w:left w:val="nil"/>
              <w:bottom w:val="single" w:sz="4" w:space="0" w:color="auto"/>
              <w:right w:val="nil"/>
            </w:tcBorders>
            <w:shd w:val="clear" w:color="auto" w:fill="auto"/>
            <w:noWrap/>
            <w:vAlign w:val="bottom"/>
            <w:hideMark/>
          </w:tcPr>
          <w:p w14:paraId="54B0FC21" w14:textId="77777777" w:rsidR="006D528C" w:rsidRPr="006D528C" w:rsidRDefault="006D528C" w:rsidP="006D528C">
            <w:pPr>
              <w:pStyle w:val="TableText"/>
            </w:pPr>
            <w:r w:rsidRPr="006D528C">
              <w:t>Named Suppliers</w:t>
            </w:r>
          </w:p>
        </w:tc>
        <w:tc>
          <w:tcPr>
            <w:tcW w:w="1559" w:type="dxa"/>
            <w:tcBorders>
              <w:top w:val="nil"/>
              <w:left w:val="nil"/>
              <w:bottom w:val="single" w:sz="4" w:space="0" w:color="auto"/>
              <w:right w:val="nil"/>
            </w:tcBorders>
            <w:shd w:val="clear" w:color="auto" w:fill="auto"/>
            <w:noWrap/>
            <w:vAlign w:val="bottom"/>
            <w:hideMark/>
          </w:tcPr>
          <w:p w14:paraId="45D4E3A4" w14:textId="4990A29F" w:rsidR="006D528C" w:rsidRPr="006D528C" w:rsidRDefault="00B84BEE" w:rsidP="006D528C">
            <w:pPr>
              <w:pStyle w:val="TableText"/>
              <w:ind w:right="170"/>
              <w:jc w:val="right"/>
            </w:pPr>
            <w:r>
              <w:t>7,651</w:t>
            </w:r>
          </w:p>
        </w:tc>
        <w:tc>
          <w:tcPr>
            <w:tcW w:w="1560" w:type="dxa"/>
            <w:tcBorders>
              <w:top w:val="nil"/>
              <w:left w:val="nil"/>
              <w:bottom w:val="single" w:sz="4" w:space="0" w:color="auto"/>
              <w:right w:val="nil"/>
            </w:tcBorders>
            <w:shd w:val="clear" w:color="auto" w:fill="auto"/>
            <w:noWrap/>
            <w:vAlign w:val="bottom"/>
            <w:hideMark/>
          </w:tcPr>
          <w:p w14:paraId="132DDEBA" w14:textId="2387FA59" w:rsidR="006D528C" w:rsidRPr="006D528C" w:rsidRDefault="00B84BEE" w:rsidP="006D528C">
            <w:pPr>
              <w:pStyle w:val="TableText"/>
              <w:ind w:right="170"/>
              <w:jc w:val="right"/>
            </w:pPr>
            <w:r>
              <w:t>10,9</w:t>
            </w:r>
            <w:r w:rsidR="0012796C">
              <w:t>29</w:t>
            </w:r>
          </w:p>
        </w:tc>
        <w:tc>
          <w:tcPr>
            <w:tcW w:w="2126" w:type="dxa"/>
            <w:tcBorders>
              <w:top w:val="nil"/>
              <w:left w:val="nil"/>
              <w:bottom w:val="single" w:sz="4" w:space="0" w:color="auto"/>
              <w:right w:val="nil"/>
            </w:tcBorders>
            <w:shd w:val="clear" w:color="auto" w:fill="auto"/>
            <w:noWrap/>
            <w:vAlign w:val="bottom"/>
            <w:hideMark/>
          </w:tcPr>
          <w:p w14:paraId="61C6385F" w14:textId="6893C723" w:rsidR="006D528C" w:rsidRPr="006D528C" w:rsidRDefault="0012796C" w:rsidP="006D528C">
            <w:pPr>
              <w:pStyle w:val="TableText"/>
              <w:jc w:val="center"/>
            </w:pPr>
            <w:r>
              <w:t>70.0</w:t>
            </w:r>
            <w:r w:rsidR="006D528C" w:rsidRPr="006D528C">
              <w:t>%</w:t>
            </w:r>
          </w:p>
        </w:tc>
      </w:tr>
    </w:tbl>
    <w:p w14:paraId="52D79FFB" w14:textId="46C8378D" w:rsidR="00D81C1D" w:rsidRPr="0006500E" w:rsidRDefault="0006500E" w:rsidP="0006500E">
      <w:pPr>
        <w:pStyle w:val="TableText"/>
      </w:pPr>
      <w:r w:rsidRPr="0006500E">
        <w:rPr>
          <w:rFonts w:cstheme="minorHAnsi"/>
        </w:rPr>
        <w:t>†</w:t>
      </w:r>
      <w:r w:rsidRPr="0006500E">
        <w:t xml:space="preserve"> </w:t>
      </w:r>
      <w:r w:rsidR="00D17044">
        <w:t xml:space="preserve">Our </w:t>
      </w:r>
      <w:r w:rsidR="00D17044" w:rsidRPr="00D17044">
        <w:rPr>
          <w:i/>
          <w:iCs/>
        </w:rPr>
        <w:t>Commissioning, Co-commissioning and Being Commissioned; the NHS and Third Sector Organisations</w:t>
      </w:r>
      <w:r w:rsidR="00D17044">
        <w:t xml:space="preserve"> project is also known as the </w:t>
      </w:r>
      <w:r w:rsidR="00D17044" w:rsidRPr="00D17044">
        <w:rPr>
          <w:i/>
          <w:iCs/>
        </w:rPr>
        <w:t>3</w:t>
      </w:r>
      <w:r w:rsidR="00D17044" w:rsidRPr="00D17044">
        <w:rPr>
          <w:i/>
          <w:iCs/>
          <w:vertAlign w:val="superscript"/>
        </w:rPr>
        <w:t>rd</w:t>
      </w:r>
      <w:r w:rsidR="00D17044" w:rsidRPr="00D17044">
        <w:rPr>
          <w:i/>
          <w:iCs/>
        </w:rPr>
        <w:t xml:space="preserve"> Sector Commissioning</w:t>
      </w:r>
      <w:r w:rsidR="00D17044">
        <w:t xml:space="preserve"> project, or </w:t>
      </w:r>
      <w:r w:rsidR="00D17044" w:rsidRPr="005C6BAD">
        <w:rPr>
          <w:i/>
          <w:iCs/>
        </w:rPr>
        <w:t>3SC</w:t>
      </w:r>
      <w:r w:rsidR="00D17044">
        <w:t>.</w:t>
      </w:r>
    </w:p>
    <w:p w14:paraId="02388896" w14:textId="77777777" w:rsidR="0006500E" w:rsidRDefault="0006500E" w:rsidP="006D528C">
      <w:pPr>
        <w:pStyle w:val="AfterTableGap"/>
      </w:pPr>
    </w:p>
    <w:p w14:paraId="53931FBE" w14:textId="5E6B882F" w:rsidR="00AF2E77" w:rsidRDefault="006D528C" w:rsidP="000604BB">
      <w:pPr>
        <w:pStyle w:val="BodyText"/>
      </w:pPr>
      <w:r w:rsidRPr="006D528C">
        <w:t xml:space="preserve">As with the current project, the </w:t>
      </w:r>
      <w:r w:rsidR="005533C6" w:rsidRPr="00721947">
        <w:rPr>
          <w:i/>
          <w:iCs/>
        </w:rPr>
        <w:t>NHS Spend</w:t>
      </w:r>
      <w:r w:rsidR="005533C6">
        <w:t xml:space="preserve"> project</w:t>
      </w:r>
      <w:r w:rsidR="005533C6" w:rsidRPr="006D528C">
        <w:t xml:space="preserve"> </w:t>
      </w:r>
      <w:r w:rsidR="005533C6">
        <w:t xml:space="preserve">sought </w:t>
      </w:r>
      <w:r w:rsidRPr="006D528C">
        <w:t xml:space="preserve">to </w:t>
      </w:r>
      <w:r>
        <w:t xml:space="preserve">match suppliers with organisations listed in the </w:t>
      </w:r>
      <w:r w:rsidR="003E3706">
        <w:t>CC</w:t>
      </w:r>
      <w:r>
        <w:t xml:space="preserve"> and </w:t>
      </w:r>
      <w:r w:rsidR="003E3706">
        <w:t>CH</w:t>
      </w:r>
      <w:r>
        <w:t xml:space="preserve"> registers. </w:t>
      </w:r>
      <w:r w:rsidR="003E3706">
        <w:t xml:space="preserve">Once again, being largely dependent on automated pattern matching </w:t>
      </w:r>
      <w:r w:rsidR="00F97B9F">
        <w:t>techniques</w:t>
      </w:r>
      <w:r w:rsidR="00D17044">
        <w:t>,</w:t>
      </w:r>
      <w:r w:rsidR="003E3706">
        <w:t xml:space="preserve"> </w:t>
      </w:r>
      <w:r w:rsidR="00D17044">
        <w:t xml:space="preserve">even for those CCG accounts that were retrieved, </w:t>
      </w:r>
      <w:r w:rsidR="003E3706">
        <w:t xml:space="preserve">a smaller number of </w:t>
      </w:r>
      <w:r w:rsidR="00F97B9F">
        <w:t xml:space="preserve">suppliers could be </w:t>
      </w:r>
      <w:r w:rsidR="00D17044">
        <w:t>matched with organisations</w:t>
      </w:r>
      <w:r w:rsidR="00F97B9F">
        <w:t xml:space="preserve"> in the CC and CH registers. Thus, with respect to CCGs covered by both datasets: </w:t>
      </w:r>
      <w:r w:rsidR="00AF2E77">
        <w:t xml:space="preserve">the </w:t>
      </w:r>
      <w:r w:rsidR="00AF2E77" w:rsidRPr="00AF2E77">
        <w:rPr>
          <w:i/>
          <w:iCs/>
        </w:rPr>
        <w:t>NHS Spend</w:t>
      </w:r>
      <w:r w:rsidR="00AF2E77">
        <w:t xml:space="preserve"> project identifies </w:t>
      </w:r>
      <w:r w:rsidR="00F97B9F">
        <w:t>504 charities rather than 6</w:t>
      </w:r>
      <w:r w:rsidR="0012796C">
        <w:t>23</w:t>
      </w:r>
      <w:r w:rsidR="00F97B9F">
        <w:t xml:space="preserve"> in the present study (</w:t>
      </w:r>
      <w:r w:rsidR="0012796C">
        <w:t>81</w:t>
      </w:r>
      <w:r w:rsidR="00F97B9F">
        <w:t>%) and 1980 companies rather than 2</w:t>
      </w:r>
      <w:r w:rsidR="0012796C">
        <w:t>550</w:t>
      </w:r>
      <w:r w:rsidR="00F97B9F">
        <w:t xml:space="preserve"> (7</w:t>
      </w:r>
      <w:r w:rsidR="0012796C">
        <w:t>8</w:t>
      </w:r>
      <w:r w:rsidR="00F97B9F">
        <w:t>%).</w:t>
      </w:r>
      <w:r w:rsidR="00AF2E77">
        <w:t xml:space="preserve"> With a rapid audit of putative links revealing a number of doubtful matches</w:t>
      </w:r>
      <w:r w:rsidR="00D17044">
        <w:t xml:space="preserve"> having been made in the </w:t>
      </w:r>
      <w:r w:rsidR="00D17044" w:rsidRPr="00D17044">
        <w:rPr>
          <w:i/>
          <w:iCs/>
        </w:rPr>
        <w:t>NHS Spend</w:t>
      </w:r>
      <w:r w:rsidR="00D17044">
        <w:t xml:space="preserve"> project</w:t>
      </w:r>
      <w:r w:rsidR="00AF2E77">
        <w:t xml:space="preserve">, there are strong reasons to argue that, at least </w:t>
      </w:r>
      <w:r w:rsidR="00F4458C">
        <w:t>at</w:t>
      </w:r>
      <w:r w:rsidR="00AF2E77">
        <w:t xml:space="preserve"> present, &gt;25k expenditure data </w:t>
      </w:r>
      <w:r w:rsidR="00AF2E77" w:rsidRPr="00F4458C">
        <w:rPr>
          <w:u w:val="single"/>
        </w:rPr>
        <w:t>can only be used</w:t>
      </w:r>
      <w:r w:rsidR="00AF2E77">
        <w:t xml:space="preserve"> if subject to intensive manual</w:t>
      </w:r>
      <w:r w:rsidR="00AF2E77" w:rsidRPr="00AF2E77">
        <w:t xml:space="preserve"> </w:t>
      </w:r>
      <w:r w:rsidR="00AF2E77">
        <w:t xml:space="preserve">scrutiny.  Of particular concern </w:t>
      </w:r>
      <w:r w:rsidR="00B84BEE">
        <w:t xml:space="preserve">is </w:t>
      </w:r>
      <w:r w:rsidR="00AF2E77">
        <w:t xml:space="preserve">the extent to which </w:t>
      </w:r>
      <w:r w:rsidR="00FE3057">
        <w:t xml:space="preserve">the effectiveness of </w:t>
      </w:r>
      <w:r w:rsidR="00AF2E77">
        <w:t xml:space="preserve">pattern matching </w:t>
      </w:r>
      <w:r w:rsidR="00FE3057">
        <w:t xml:space="preserve">varies between CCGs, with 17 and 19 CCGs returning less than 50% of known charities </w:t>
      </w:r>
      <w:r w:rsidR="00DC57A2">
        <w:t xml:space="preserve">and companies </w:t>
      </w:r>
      <w:r w:rsidR="00FE3057">
        <w:t xml:space="preserve">respectively. </w:t>
      </w:r>
      <w:r w:rsidR="00DC57A2">
        <w:t>A fully automated identification of suppliers clearly risk</w:t>
      </w:r>
      <w:r w:rsidR="00F4458C">
        <w:t>s</w:t>
      </w:r>
      <w:r w:rsidR="00DC57A2">
        <w:t xml:space="preserve"> seriously biasing the analysis.</w:t>
      </w:r>
    </w:p>
    <w:p w14:paraId="67B627C6" w14:textId="77777777" w:rsidR="00C0500F" w:rsidRPr="0063598C" w:rsidRDefault="00C0500F" w:rsidP="003E6FBC">
      <w:pPr>
        <w:pStyle w:val="Heading1"/>
      </w:pPr>
      <w:bookmarkStart w:id="32" w:name="_Toc127795207"/>
      <w:r w:rsidRPr="0063598C">
        <w:t xml:space="preserve">Identifying Suppliers: </w:t>
      </w:r>
      <w:r>
        <w:t>Establishing VCSE Status</w:t>
      </w:r>
      <w:bookmarkEnd w:id="32"/>
    </w:p>
    <w:p w14:paraId="715498A6" w14:textId="42230A99" w:rsidR="00D04F2A" w:rsidRDefault="00D17044" w:rsidP="00D04F2A">
      <w:pPr>
        <w:pStyle w:val="BodyText"/>
      </w:pPr>
      <w:r>
        <w:t xml:space="preserve">Returning to our </w:t>
      </w:r>
      <w:r w:rsidRPr="005C6BAD">
        <w:rPr>
          <w:i/>
          <w:iCs/>
        </w:rPr>
        <w:t xml:space="preserve">3SC </w:t>
      </w:r>
      <w:r w:rsidR="005C6BAD" w:rsidRPr="005C6BAD">
        <w:rPr>
          <w:i/>
          <w:iCs/>
        </w:rPr>
        <w:t>P</w:t>
      </w:r>
      <w:r w:rsidRPr="005C6BAD">
        <w:rPr>
          <w:i/>
          <w:iCs/>
        </w:rPr>
        <w:t>roject</w:t>
      </w:r>
      <w:r>
        <w:t>, a</w:t>
      </w:r>
      <w:r w:rsidR="00D04F2A">
        <w:t>ny supplier found in the Charity Commission (CC) register (n=81</w:t>
      </w:r>
      <w:r w:rsidR="0012796C">
        <w:t>7</w:t>
      </w:r>
      <w:r w:rsidR="00D04F2A">
        <w:t>) has been classified as VCSE (</w:t>
      </w:r>
      <w:r w:rsidR="00D04F2A" w:rsidRPr="00F221AA">
        <w:t xml:space="preserve">Voluntary, Community </w:t>
      </w:r>
      <w:r w:rsidR="00D04F2A">
        <w:t>or</w:t>
      </w:r>
      <w:r w:rsidR="00D04F2A" w:rsidRPr="00F221AA">
        <w:t xml:space="preserve"> Social Enterprise</w:t>
      </w:r>
      <w:r w:rsidR="00D04F2A">
        <w:t xml:space="preserve">). Of these, as illustrated in </w:t>
      </w:r>
      <w:r w:rsidR="00D04F2A">
        <w:fldChar w:fldCharType="begin"/>
      </w:r>
      <w:r w:rsidR="00D04F2A">
        <w:instrText xml:space="preserve"> REF _Ref124465802 \h </w:instrText>
      </w:r>
      <w:r w:rsidR="00D04F2A">
        <w:fldChar w:fldCharType="separate"/>
      </w:r>
      <w:r w:rsidR="00842C06">
        <w:t xml:space="preserve">Table </w:t>
      </w:r>
      <w:r w:rsidR="00842C06">
        <w:rPr>
          <w:noProof/>
        </w:rPr>
        <w:t>6</w:t>
      </w:r>
      <w:r w:rsidR="00D04F2A">
        <w:fldChar w:fldCharType="end"/>
      </w:r>
      <w:r w:rsidR="00D04F2A">
        <w:t xml:space="preserve"> below, the vast majority</w:t>
      </w:r>
      <w:r w:rsidR="00F4458C">
        <w:t xml:space="preserve"> (n=7</w:t>
      </w:r>
      <w:r w:rsidR="0012796C">
        <w:t>36</w:t>
      </w:r>
      <w:r w:rsidR="00F4458C">
        <w:t xml:space="preserve">) </w:t>
      </w:r>
      <w:r w:rsidR="00D04F2A">
        <w:t>were also found in the Companies House (CH) Register</w:t>
      </w:r>
      <w:r w:rsidR="00F4458C">
        <w:t>; most (n=6</w:t>
      </w:r>
      <w:r w:rsidR="0012796C">
        <w:t>91</w:t>
      </w:r>
      <w:r w:rsidR="00F4458C">
        <w:t xml:space="preserve">) being listed </w:t>
      </w:r>
      <w:r w:rsidR="00D04F2A">
        <w:t>as ‘</w:t>
      </w:r>
      <w:r w:rsidR="00D04F2A" w:rsidRPr="00474913">
        <w:t>Private Limited Compan</w:t>
      </w:r>
      <w:r w:rsidR="00D04F2A">
        <w:t>ies</w:t>
      </w:r>
      <w:r w:rsidR="00D04F2A" w:rsidRPr="00474913">
        <w:t xml:space="preserve"> by guarantee</w:t>
      </w:r>
      <w:r w:rsidR="00D04F2A">
        <w:t>’. Relatively few registered charities were not also found in the CH register (n=81)</w:t>
      </w:r>
      <w:r w:rsidR="00801BDF">
        <w:t>, possibly because of name variation.</w:t>
      </w:r>
    </w:p>
    <w:p w14:paraId="7B253DAF" w14:textId="074374A7" w:rsidR="00BE26AA" w:rsidRDefault="00D04F2A" w:rsidP="00D04F2A">
      <w:pPr>
        <w:pStyle w:val="BodyText"/>
      </w:pPr>
      <w:r>
        <w:t xml:space="preserve">Also categorised as VCSE </w:t>
      </w:r>
      <w:r w:rsidR="00D17044">
        <w:t xml:space="preserve">is any company </w:t>
      </w:r>
      <w:r>
        <w:t>listed in the CH register as a Community Interest Company</w:t>
      </w:r>
      <w:r w:rsidR="00F4458C">
        <w:t xml:space="preserve"> (n=12</w:t>
      </w:r>
      <w:r w:rsidR="0012796C">
        <w:t>7</w:t>
      </w:r>
      <w:r w:rsidR="00F4458C">
        <w:t>)</w:t>
      </w:r>
      <w:r>
        <w:t>, Industrial and Provident Society</w:t>
      </w:r>
      <w:r w:rsidR="00F4458C">
        <w:t xml:space="preserve"> (n=4)</w:t>
      </w:r>
      <w:r>
        <w:t>, Registered Society</w:t>
      </w:r>
      <w:r w:rsidR="00F4458C">
        <w:t xml:space="preserve"> (n=62)</w:t>
      </w:r>
      <w:r>
        <w:t xml:space="preserve"> or </w:t>
      </w:r>
      <w:r w:rsidR="00F4458C">
        <w:t xml:space="preserve">a </w:t>
      </w:r>
      <w:r>
        <w:t>Social Enterprise Company</w:t>
      </w:r>
      <w:r w:rsidR="00F4458C">
        <w:t xml:space="preserve"> (n=</w:t>
      </w:r>
      <w:r w:rsidR="00801BDF">
        <w:t>1</w:t>
      </w:r>
      <w:r w:rsidR="00F4458C">
        <w:t>)</w:t>
      </w:r>
      <w:r>
        <w:t>. A less clear-cut category concerns suppliers registered as ‘</w:t>
      </w:r>
      <w:r w:rsidRPr="00474913">
        <w:t>Private Limited Compan</w:t>
      </w:r>
      <w:r>
        <w:t>ies</w:t>
      </w:r>
      <w:r w:rsidRPr="00474913">
        <w:t xml:space="preserve"> by guarantee</w:t>
      </w:r>
      <w:r>
        <w:t>’</w:t>
      </w:r>
      <w:r w:rsidR="00CF46D4">
        <w:t xml:space="preserve"> but which are not also found in the CC register</w:t>
      </w:r>
      <w:r>
        <w:t xml:space="preserve">. This legal form is commonly used by Not-for-Profit organisations and Social Enterprises, but is also used, for instance, </w:t>
      </w:r>
      <w:r w:rsidR="00CF46D4">
        <w:t xml:space="preserve">by </w:t>
      </w:r>
      <w:r>
        <w:t>GP federations, Local Medical Committees</w:t>
      </w:r>
      <w:r w:rsidR="00BE26AA">
        <w:t xml:space="preserve">, Academic Health </w:t>
      </w:r>
      <w:r w:rsidR="00BE26AA">
        <w:lastRenderedPageBreak/>
        <w:t xml:space="preserve">Science </w:t>
      </w:r>
      <w:proofErr w:type="gramStart"/>
      <w:r w:rsidR="00BE26AA">
        <w:t>Networks</w:t>
      </w:r>
      <w:proofErr w:type="gramEnd"/>
      <w:r w:rsidR="00BE26AA">
        <w:t xml:space="preserve"> </w:t>
      </w:r>
      <w:r>
        <w:t xml:space="preserve">and other </w:t>
      </w:r>
      <w:r w:rsidR="00BE26AA">
        <w:t xml:space="preserve">similar </w:t>
      </w:r>
      <w:r>
        <w:t>membership organisations</w:t>
      </w:r>
      <w:r w:rsidR="006D44CB">
        <w:t>.</w:t>
      </w:r>
      <w:r>
        <w:t xml:space="preserve"> </w:t>
      </w:r>
      <w:r w:rsidR="006D44CB">
        <w:t xml:space="preserve"> </w:t>
      </w:r>
      <w:r w:rsidR="00BE26AA">
        <w:t>Our approach has been to search these organisations</w:t>
      </w:r>
      <w:r w:rsidR="00D17044">
        <w:t>’</w:t>
      </w:r>
      <w:r w:rsidR="00BE26AA">
        <w:t xml:space="preserve"> public-facing websites for </w:t>
      </w:r>
      <w:r w:rsidR="00BE26AA" w:rsidRPr="00BE26AA">
        <w:rPr>
          <w:b/>
          <w:bCs/>
          <w:i/>
          <w:iCs/>
        </w:rPr>
        <w:t>explicit</w:t>
      </w:r>
      <w:r w:rsidR="00BE26AA">
        <w:t xml:space="preserve"> statements that they are Not-for-Profit, Social Enterprise or ‘volunteer-led’. If found, they are classed as VCSE (n=35). Otherwise, even though </w:t>
      </w:r>
      <w:r w:rsidR="00D17044">
        <w:t xml:space="preserve">we may suspect them to be </w:t>
      </w:r>
      <w:r w:rsidR="00BE26AA">
        <w:t xml:space="preserve">VCSE, they have been classified as ‘Not VCSE’.   </w:t>
      </w:r>
    </w:p>
    <w:p w14:paraId="5A7BDC05" w14:textId="7F57E276" w:rsidR="00A0032D" w:rsidRDefault="00A0032D" w:rsidP="00A0032D">
      <w:pPr>
        <w:pStyle w:val="TableCaption"/>
      </w:pPr>
      <w:bookmarkStart w:id="33" w:name="_Ref124465802"/>
      <w:bookmarkStart w:id="34" w:name="_Toc127795217"/>
      <w:r>
        <w:t xml:space="preserve">Table </w:t>
      </w:r>
      <w:fldSimple w:instr=" SEQ Table \* ARABIC ">
        <w:r w:rsidR="00842C06">
          <w:rPr>
            <w:noProof/>
          </w:rPr>
          <w:t>6</w:t>
        </w:r>
      </w:fldSimple>
      <w:bookmarkEnd w:id="33"/>
      <w:r>
        <w:t xml:space="preserve">: </w:t>
      </w:r>
      <w:r w:rsidRPr="001F4A9F">
        <w:t>Supplier Types and VCSE Status</w:t>
      </w:r>
      <w:bookmarkEnd w:id="34"/>
    </w:p>
    <w:tbl>
      <w:tblPr>
        <w:tblW w:w="9155" w:type="dxa"/>
        <w:tblLook w:val="04A0" w:firstRow="1" w:lastRow="0" w:firstColumn="1" w:lastColumn="0" w:noHBand="0" w:noVBand="1"/>
      </w:tblPr>
      <w:tblGrid>
        <w:gridCol w:w="2280"/>
        <w:gridCol w:w="2280"/>
        <w:gridCol w:w="1280"/>
        <w:gridCol w:w="1815"/>
        <w:gridCol w:w="1500"/>
      </w:tblGrid>
      <w:tr w:rsidR="00756F3E" w:rsidRPr="00756F3E" w14:paraId="72036CC6"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05E601A4" w14:textId="77777777" w:rsidR="00756F3E" w:rsidRPr="00756F3E" w:rsidRDefault="00756F3E" w:rsidP="00756F3E">
            <w:pPr>
              <w:pStyle w:val="TableText"/>
              <w:rPr>
                <w:b/>
                <w:bCs/>
                <w:i/>
                <w:iCs/>
                <w:lang w:eastAsia="en-GB"/>
              </w:rPr>
            </w:pPr>
            <w:r w:rsidRPr="00756F3E">
              <w:rPr>
                <w:b/>
                <w:bCs/>
                <w:i/>
                <w:iCs/>
                <w:lang w:eastAsia="en-GB"/>
              </w:rPr>
              <w:t>In CC Register and CH Register</w:t>
            </w:r>
          </w:p>
        </w:tc>
        <w:tc>
          <w:tcPr>
            <w:tcW w:w="1280" w:type="dxa"/>
            <w:tcBorders>
              <w:top w:val="nil"/>
              <w:left w:val="nil"/>
              <w:bottom w:val="single" w:sz="8" w:space="0" w:color="auto"/>
              <w:right w:val="nil"/>
            </w:tcBorders>
            <w:shd w:val="clear" w:color="auto" w:fill="auto"/>
            <w:vAlign w:val="bottom"/>
            <w:hideMark/>
          </w:tcPr>
          <w:p w14:paraId="63D9912C"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2CA31F59" w14:textId="41E35626"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08F6756C"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E00F34" w:rsidRPr="00756F3E" w14:paraId="1F149C33" w14:textId="77777777" w:rsidTr="00526574">
        <w:trPr>
          <w:trHeight w:val="300"/>
        </w:trPr>
        <w:tc>
          <w:tcPr>
            <w:tcW w:w="4560" w:type="dxa"/>
            <w:gridSpan w:val="2"/>
            <w:tcBorders>
              <w:top w:val="nil"/>
              <w:left w:val="nil"/>
              <w:bottom w:val="nil"/>
              <w:right w:val="nil"/>
            </w:tcBorders>
            <w:shd w:val="clear" w:color="auto" w:fill="auto"/>
            <w:noWrap/>
            <w:vAlign w:val="center"/>
            <w:hideMark/>
          </w:tcPr>
          <w:p w14:paraId="0870DF25" w14:textId="77777777" w:rsidR="00E00F34" w:rsidRPr="00756F3E" w:rsidRDefault="00E00F34" w:rsidP="00E00F34">
            <w:pPr>
              <w:pStyle w:val="TableText"/>
              <w:rPr>
                <w:lang w:eastAsia="en-GB"/>
              </w:rPr>
            </w:pPr>
            <w:r w:rsidRPr="00756F3E">
              <w:rPr>
                <w:lang w:eastAsia="en-GB"/>
              </w:rPr>
              <w:t>Charitable Incorporated Organisation</w:t>
            </w:r>
          </w:p>
        </w:tc>
        <w:tc>
          <w:tcPr>
            <w:tcW w:w="1280" w:type="dxa"/>
            <w:tcBorders>
              <w:top w:val="nil"/>
              <w:left w:val="nil"/>
              <w:bottom w:val="nil"/>
              <w:right w:val="nil"/>
            </w:tcBorders>
            <w:shd w:val="clear" w:color="auto" w:fill="auto"/>
            <w:noWrap/>
            <w:hideMark/>
          </w:tcPr>
          <w:p w14:paraId="6D2D419D" w14:textId="38DC0283" w:rsidR="00E00F34" w:rsidRPr="00756F3E" w:rsidRDefault="00E00F34" w:rsidP="00E00F34">
            <w:pPr>
              <w:pStyle w:val="TableText"/>
              <w:ind w:right="227"/>
              <w:jc w:val="right"/>
              <w:rPr>
                <w:lang w:eastAsia="en-GB"/>
              </w:rPr>
            </w:pPr>
            <w:r w:rsidRPr="00194B88">
              <w:t>36</w:t>
            </w:r>
          </w:p>
        </w:tc>
        <w:tc>
          <w:tcPr>
            <w:tcW w:w="1815" w:type="dxa"/>
            <w:tcBorders>
              <w:top w:val="nil"/>
              <w:left w:val="nil"/>
              <w:bottom w:val="nil"/>
              <w:right w:val="nil"/>
            </w:tcBorders>
            <w:shd w:val="clear" w:color="auto" w:fill="auto"/>
            <w:noWrap/>
            <w:hideMark/>
          </w:tcPr>
          <w:p w14:paraId="7C3B268F" w14:textId="57AB96E9" w:rsidR="00E00F34" w:rsidRPr="00756F3E" w:rsidRDefault="00E00F34" w:rsidP="00E00F34">
            <w:pPr>
              <w:pStyle w:val="TableText"/>
              <w:ind w:right="227"/>
              <w:jc w:val="right"/>
              <w:rPr>
                <w:lang w:eastAsia="en-GB"/>
              </w:rPr>
            </w:pPr>
            <w:r w:rsidRPr="00194B88">
              <w:t>£6.557</w:t>
            </w:r>
          </w:p>
        </w:tc>
        <w:tc>
          <w:tcPr>
            <w:tcW w:w="1500" w:type="dxa"/>
            <w:tcBorders>
              <w:top w:val="nil"/>
              <w:left w:val="nil"/>
              <w:bottom w:val="nil"/>
              <w:right w:val="nil"/>
            </w:tcBorders>
            <w:shd w:val="clear" w:color="auto" w:fill="auto"/>
            <w:noWrap/>
            <w:vAlign w:val="center"/>
            <w:hideMark/>
          </w:tcPr>
          <w:p w14:paraId="044325FA"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7237F700" w14:textId="77777777" w:rsidTr="00526574">
        <w:trPr>
          <w:trHeight w:val="300"/>
        </w:trPr>
        <w:tc>
          <w:tcPr>
            <w:tcW w:w="4560" w:type="dxa"/>
            <w:gridSpan w:val="2"/>
            <w:tcBorders>
              <w:top w:val="nil"/>
              <w:left w:val="nil"/>
              <w:bottom w:val="nil"/>
              <w:right w:val="nil"/>
            </w:tcBorders>
            <w:shd w:val="clear" w:color="auto" w:fill="auto"/>
            <w:noWrap/>
            <w:vAlign w:val="center"/>
            <w:hideMark/>
          </w:tcPr>
          <w:p w14:paraId="74B902BA" w14:textId="70106C51" w:rsidR="00E00F34" w:rsidRPr="00756F3E" w:rsidRDefault="00E00F34" w:rsidP="00E00F34">
            <w:pPr>
              <w:pStyle w:val="TableText"/>
              <w:rPr>
                <w:lang w:eastAsia="en-GB"/>
              </w:rPr>
            </w:pPr>
            <w:r w:rsidRPr="00D04F2A">
              <w:rPr>
                <w:lang w:eastAsia="en-GB"/>
              </w:rPr>
              <w:t>Private Limited Companies by guarantee</w:t>
            </w:r>
            <w:r>
              <w:rPr>
                <w:lang w:eastAsia="en-GB"/>
              </w:rPr>
              <w:t xml:space="preserve"> </w:t>
            </w:r>
          </w:p>
        </w:tc>
        <w:tc>
          <w:tcPr>
            <w:tcW w:w="1280" w:type="dxa"/>
            <w:tcBorders>
              <w:top w:val="nil"/>
              <w:left w:val="nil"/>
              <w:bottom w:val="nil"/>
              <w:right w:val="nil"/>
            </w:tcBorders>
            <w:shd w:val="clear" w:color="auto" w:fill="auto"/>
            <w:noWrap/>
            <w:hideMark/>
          </w:tcPr>
          <w:p w14:paraId="78AA8E3B" w14:textId="1D5912A8" w:rsidR="00E00F34" w:rsidRPr="00756F3E" w:rsidRDefault="00E00F34" w:rsidP="00E00F34">
            <w:pPr>
              <w:pStyle w:val="TableText"/>
              <w:ind w:right="227"/>
              <w:jc w:val="right"/>
              <w:rPr>
                <w:lang w:eastAsia="en-GB"/>
              </w:rPr>
            </w:pPr>
            <w:r w:rsidRPr="00194B88">
              <w:t>6</w:t>
            </w:r>
            <w:r w:rsidR="0012796C">
              <w:t>91</w:t>
            </w:r>
          </w:p>
        </w:tc>
        <w:tc>
          <w:tcPr>
            <w:tcW w:w="1815" w:type="dxa"/>
            <w:tcBorders>
              <w:top w:val="nil"/>
              <w:left w:val="nil"/>
              <w:bottom w:val="nil"/>
              <w:right w:val="nil"/>
            </w:tcBorders>
            <w:shd w:val="clear" w:color="auto" w:fill="auto"/>
            <w:noWrap/>
            <w:hideMark/>
          </w:tcPr>
          <w:p w14:paraId="421F6698" w14:textId="5ECF5508" w:rsidR="00E00F34" w:rsidRPr="00756F3E" w:rsidRDefault="00E00F34" w:rsidP="00E00F34">
            <w:pPr>
              <w:pStyle w:val="TableText"/>
              <w:ind w:right="227"/>
              <w:jc w:val="right"/>
              <w:rPr>
                <w:lang w:eastAsia="en-GB"/>
              </w:rPr>
            </w:pPr>
            <w:r w:rsidRPr="00194B88">
              <w:t>£</w:t>
            </w:r>
            <w:r w:rsidR="00B17D7D">
              <w:t>724.221</w:t>
            </w:r>
          </w:p>
        </w:tc>
        <w:tc>
          <w:tcPr>
            <w:tcW w:w="1500" w:type="dxa"/>
            <w:tcBorders>
              <w:top w:val="nil"/>
              <w:left w:val="nil"/>
              <w:bottom w:val="nil"/>
              <w:right w:val="nil"/>
            </w:tcBorders>
            <w:shd w:val="clear" w:color="auto" w:fill="auto"/>
            <w:noWrap/>
            <w:vAlign w:val="center"/>
            <w:hideMark/>
          </w:tcPr>
          <w:p w14:paraId="49AFA41E"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54790A5D" w14:textId="77777777" w:rsidTr="00526574">
        <w:trPr>
          <w:trHeight w:val="300"/>
        </w:trPr>
        <w:tc>
          <w:tcPr>
            <w:tcW w:w="4560" w:type="dxa"/>
            <w:gridSpan w:val="2"/>
            <w:tcBorders>
              <w:top w:val="nil"/>
              <w:left w:val="nil"/>
              <w:bottom w:val="nil"/>
              <w:right w:val="nil"/>
            </w:tcBorders>
            <w:shd w:val="clear" w:color="auto" w:fill="auto"/>
            <w:noWrap/>
            <w:vAlign w:val="center"/>
            <w:hideMark/>
          </w:tcPr>
          <w:p w14:paraId="680BAE9D" w14:textId="2E469E7E" w:rsidR="00E00F34" w:rsidRPr="00756F3E" w:rsidRDefault="00E00F34" w:rsidP="00E00F34">
            <w:pPr>
              <w:pStyle w:val="TableText"/>
              <w:rPr>
                <w:lang w:eastAsia="en-GB"/>
              </w:rPr>
            </w:pPr>
            <w:r w:rsidRPr="00756F3E">
              <w:rPr>
                <w:lang w:eastAsia="en-GB"/>
              </w:rPr>
              <w:t>Other Company Types</w:t>
            </w:r>
            <w:r>
              <w:rPr>
                <w:lang w:eastAsia="en-GB"/>
              </w:rPr>
              <w:t xml:space="preserve"> </w:t>
            </w:r>
            <w:r>
              <w:rPr>
                <w:rFonts w:cs="Times New Roman"/>
                <w:lang w:eastAsia="en-GB"/>
              </w:rPr>
              <w:t>†</w:t>
            </w:r>
          </w:p>
        </w:tc>
        <w:tc>
          <w:tcPr>
            <w:tcW w:w="1280" w:type="dxa"/>
            <w:tcBorders>
              <w:top w:val="nil"/>
              <w:left w:val="nil"/>
              <w:bottom w:val="nil"/>
              <w:right w:val="nil"/>
            </w:tcBorders>
            <w:shd w:val="clear" w:color="auto" w:fill="auto"/>
            <w:noWrap/>
            <w:hideMark/>
          </w:tcPr>
          <w:p w14:paraId="2336A15E" w14:textId="467ED69C" w:rsidR="00E00F34" w:rsidRPr="00756F3E" w:rsidRDefault="00E00F34" w:rsidP="00E00F34">
            <w:pPr>
              <w:pStyle w:val="TableText"/>
              <w:ind w:right="227"/>
              <w:jc w:val="right"/>
              <w:rPr>
                <w:lang w:eastAsia="en-GB"/>
              </w:rPr>
            </w:pPr>
            <w:r w:rsidRPr="00194B88">
              <w:t>9</w:t>
            </w:r>
          </w:p>
        </w:tc>
        <w:tc>
          <w:tcPr>
            <w:tcW w:w="1815" w:type="dxa"/>
            <w:tcBorders>
              <w:top w:val="nil"/>
              <w:left w:val="nil"/>
              <w:bottom w:val="nil"/>
              <w:right w:val="nil"/>
            </w:tcBorders>
            <w:shd w:val="clear" w:color="auto" w:fill="auto"/>
            <w:noWrap/>
            <w:hideMark/>
          </w:tcPr>
          <w:p w14:paraId="01D94EF2" w14:textId="7FC727C4" w:rsidR="00E00F34" w:rsidRPr="00756F3E" w:rsidRDefault="00E00F34" w:rsidP="00E00F34">
            <w:pPr>
              <w:pStyle w:val="TableText"/>
              <w:ind w:right="227"/>
              <w:jc w:val="right"/>
              <w:rPr>
                <w:lang w:eastAsia="en-GB"/>
              </w:rPr>
            </w:pPr>
            <w:r w:rsidRPr="00194B88">
              <w:t>£4.685</w:t>
            </w:r>
          </w:p>
        </w:tc>
        <w:tc>
          <w:tcPr>
            <w:tcW w:w="1500" w:type="dxa"/>
            <w:tcBorders>
              <w:top w:val="nil"/>
              <w:left w:val="nil"/>
              <w:bottom w:val="nil"/>
              <w:right w:val="nil"/>
            </w:tcBorders>
            <w:shd w:val="clear" w:color="auto" w:fill="auto"/>
            <w:noWrap/>
            <w:vAlign w:val="center"/>
            <w:hideMark/>
          </w:tcPr>
          <w:p w14:paraId="08B64B72" w14:textId="77777777" w:rsidR="00E00F34" w:rsidRPr="00756F3E" w:rsidRDefault="00E00F34" w:rsidP="00E00F34">
            <w:pPr>
              <w:pStyle w:val="TableText"/>
              <w:jc w:val="center"/>
              <w:rPr>
                <w:lang w:eastAsia="en-GB"/>
              </w:rPr>
            </w:pPr>
            <w:r w:rsidRPr="00756F3E">
              <w:rPr>
                <w:lang w:eastAsia="en-GB"/>
              </w:rPr>
              <w:t>VCSE</w:t>
            </w:r>
          </w:p>
        </w:tc>
      </w:tr>
      <w:tr w:rsidR="00756F3E" w:rsidRPr="00756F3E" w14:paraId="2A2BE048" w14:textId="77777777" w:rsidTr="00756F3E">
        <w:trPr>
          <w:trHeight w:val="113"/>
        </w:trPr>
        <w:tc>
          <w:tcPr>
            <w:tcW w:w="4560" w:type="dxa"/>
            <w:gridSpan w:val="2"/>
            <w:tcBorders>
              <w:top w:val="nil"/>
              <w:left w:val="nil"/>
              <w:bottom w:val="nil"/>
              <w:right w:val="nil"/>
            </w:tcBorders>
            <w:shd w:val="clear" w:color="auto" w:fill="auto"/>
            <w:noWrap/>
            <w:vAlign w:val="bottom"/>
            <w:hideMark/>
          </w:tcPr>
          <w:p w14:paraId="428F7A3A" w14:textId="77777777" w:rsidR="00756F3E" w:rsidRPr="00756F3E" w:rsidRDefault="00756F3E" w:rsidP="00756F3E">
            <w:pPr>
              <w:pStyle w:val="TableText"/>
              <w:rPr>
                <w:sz w:val="10"/>
                <w:szCs w:val="10"/>
                <w:lang w:eastAsia="en-GB"/>
              </w:rPr>
            </w:pPr>
          </w:p>
        </w:tc>
        <w:tc>
          <w:tcPr>
            <w:tcW w:w="1280" w:type="dxa"/>
            <w:tcBorders>
              <w:top w:val="nil"/>
              <w:left w:val="nil"/>
              <w:bottom w:val="nil"/>
              <w:right w:val="nil"/>
            </w:tcBorders>
            <w:shd w:val="clear" w:color="auto" w:fill="auto"/>
            <w:noWrap/>
            <w:vAlign w:val="bottom"/>
            <w:hideMark/>
          </w:tcPr>
          <w:p w14:paraId="1550D592" w14:textId="77777777" w:rsidR="00756F3E" w:rsidRPr="00756F3E" w:rsidRDefault="00756F3E" w:rsidP="00756F3E">
            <w:pPr>
              <w:pStyle w:val="TableText"/>
              <w:rPr>
                <w:rFonts w:cs="Times New Roman"/>
                <w:sz w:val="10"/>
                <w:szCs w:val="10"/>
                <w:lang w:eastAsia="en-GB"/>
              </w:rPr>
            </w:pPr>
          </w:p>
        </w:tc>
        <w:tc>
          <w:tcPr>
            <w:tcW w:w="1815" w:type="dxa"/>
            <w:tcBorders>
              <w:top w:val="nil"/>
              <w:left w:val="nil"/>
              <w:bottom w:val="nil"/>
              <w:right w:val="nil"/>
            </w:tcBorders>
            <w:shd w:val="clear" w:color="auto" w:fill="auto"/>
            <w:noWrap/>
            <w:vAlign w:val="bottom"/>
            <w:hideMark/>
          </w:tcPr>
          <w:p w14:paraId="591DF4FD" w14:textId="77777777" w:rsidR="00756F3E" w:rsidRPr="00756F3E" w:rsidRDefault="00756F3E" w:rsidP="00756F3E">
            <w:pPr>
              <w:pStyle w:val="TableText"/>
              <w:rPr>
                <w:rFonts w:cs="Times New Roman"/>
                <w:sz w:val="10"/>
                <w:szCs w:val="10"/>
                <w:lang w:eastAsia="en-GB"/>
              </w:rPr>
            </w:pPr>
          </w:p>
        </w:tc>
        <w:tc>
          <w:tcPr>
            <w:tcW w:w="1500" w:type="dxa"/>
            <w:tcBorders>
              <w:top w:val="nil"/>
              <w:left w:val="nil"/>
              <w:bottom w:val="nil"/>
              <w:right w:val="nil"/>
            </w:tcBorders>
            <w:shd w:val="clear" w:color="auto" w:fill="auto"/>
            <w:noWrap/>
            <w:vAlign w:val="bottom"/>
            <w:hideMark/>
          </w:tcPr>
          <w:p w14:paraId="6D4C7B87" w14:textId="77777777" w:rsidR="00756F3E" w:rsidRPr="00756F3E" w:rsidRDefault="00756F3E" w:rsidP="00756F3E">
            <w:pPr>
              <w:pStyle w:val="TableText"/>
              <w:rPr>
                <w:rFonts w:cs="Times New Roman"/>
                <w:sz w:val="10"/>
                <w:szCs w:val="10"/>
                <w:lang w:eastAsia="en-GB"/>
              </w:rPr>
            </w:pPr>
          </w:p>
        </w:tc>
      </w:tr>
      <w:tr w:rsidR="00756F3E" w:rsidRPr="00756F3E" w14:paraId="2A89D54B"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7047F5E8" w14:textId="77777777" w:rsidR="00756F3E" w:rsidRPr="00756F3E" w:rsidRDefault="00756F3E" w:rsidP="00756F3E">
            <w:pPr>
              <w:pStyle w:val="TableText"/>
              <w:rPr>
                <w:b/>
                <w:bCs/>
                <w:i/>
                <w:iCs/>
                <w:lang w:eastAsia="en-GB"/>
              </w:rPr>
            </w:pPr>
            <w:r w:rsidRPr="00756F3E">
              <w:rPr>
                <w:b/>
                <w:bCs/>
                <w:i/>
                <w:iCs/>
                <w:lang w:eastAsia="en-GB"/>
              </w:rPr>
              <w:t>In CC Register but not CH Register</w:t>
            </w:r>
          </w:p>
        </w:tc>
        <w:tc>
          <w:tcPr>
            <w:tcW w:w="1280" w:type="dxa"/>
            <w:tcBorders>
              <w:top w:val="nil"/>
              <w:left w:val="nil"/>
              <w:bottom w:val="single" w:sz="8" w:space="0" w:color="auto"/>
              <w:right w:val="nil"/>
            </w:tcBorders>
            <w:shd w:val="clear" w:color="auto" w:fill="auto"/>
            <w:vAlign w:val="bottom"/>
            <w:hideMark/>
          </w:tcPr>
          <w:p w14:paraId="13B1B7A0"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23DE2FCC" w14:textId="0868B9CB"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1DDC6134"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756F3E" w:rsidRPr="00756F3E" w14:paraId="7691E0A7" w14:textId="77777777" w:rsidTr="00756F3E">
        <w:trPr>
          <w:trHeight w:val="300"/>
        </w:trPr>
        <w:tc>
          <w:tcPr>
            <w:tcW w:w="4560" w:type="dxa"/>
            <w:gridSpan w:val="2"/>
            <w:tcBorders>
              <w:top w:val="nil"/>
              <w:left w:val="nil"/>
              <w:bottom w:val="nil"/>
              <w:right w:val="nil"/>
            </w:tcBorders>
            <w:shd w:val="clear" w:color="auto" w:fill="auto"/>
            <w:noWrap/>
            <w:vAlign w:val="center"/>
            <w:hideMark/>
          </w:tcPr>
          <w:p w14:paraId="04C86A14" w14:textId="77777777" w:rsidR="00756F3E" w:rsidRPr="00756F3E" w:rsidRDefault="00756F3E" w:rsidP="00756F3E">
            <w:pPr>
              <w:pStyle w:val="TableText"/>
              <w:rPr>
                <w:lang w:eastAsia="en-GB"/>
              </w:rPr>
            </w:pPr>
            <w:r w:rsidRPr="00756F3E">
              <w:rPr>
                <w:lang w:eastAsia="en-GB"/>
              </w:rPr>
              <w:t>Named charities</w:t>
            </w:r>
          </w:p>
        </w:tc>
        <w:tc>
          <w:tcPr>
            <w:tcW w:w="1280" w:type="dxa"/>
            <w:tcBorders>
              <w:top w:val="nil"/>
              <w:left w:val="nil"/>
              <w:bottom w:val="nil"/>
              <w:right w:val="nil"/>
            </w:tcBorders>
            <w:shd w:val="clear" w:color="auto" w:fill="auto"/>
            <w:noWrap/>
            <w:vAlign w:val="center"/>
            <w:hideMark/>
          </w:tcPr>
          <w:p w14:paraId="179A2DDA" w14:textId="77777777" w:rsidR="00756F3E" w:rsidRPr="00756F3E" w:rsidRDefault="00756F3E" w:rsidP="00756F3E">
            <w:pPr>
              <w:pStyle w:val="TableText"/>
              <w:ind w:right="227"/>
              <w:jc w:val="right"/>
              <w:rPr>
                <w:lang w:eastAsia="en-GB"/>
              </w:rPr>
            </w:pPr>
            <w:r w:rsidRPr="00756F3E">
              <w:rPr>
                <w:lang w:eastAsia="en-GB"/>
              </w:rPr>
              <w:t>81</w:t>
            </w:r>
          </w:p>
        </w:tc>
        <w:tc>
          <w:tcPr>
            <w:tcW w:w="1815" w:type="dxa"/>
            <w:tcBorders>
              <w:top w:val="nil"/>
              <w:left w:val="nil"/>
              <w:bottom w:val="nil"/>
              <w:right w:val="nil"/>
            </w:tcBorders>
            <w:shd w:val="clear" w:color="auto" w:fill="auto"/>
            <w:noWrap/>
            <w:vAlign w:val="center"/>
            <w:hideMark/>
          </w:tcPr>
          <w:p w14:paraId="10DDBA99" w14:textId="2EC2824E" w:rsidR="00756F3E" w:rsidRPr="00756F3E" w:rsidRDefault="00756F3E" w:rsidP="00756F3E">
            <w:pPr>
              <w:pStyle w:val="TableText"/>
              <w:ind w:right="227"/>
              <w:jc w:val="right"/>
              <w:rPr>
                <w:lang w:eastAsia="en-GB"/>
              </w:rPr>
            </w:pPr>
            <w:r w:rsidRPr="00756F3E">
              <w:rPr>
                <w:lang w:eastAsia="en-GB"/>
              </w:rPr>
              <w:t>£20.450</w:t>
            </w:r>
          </w:p>
        </w:tc>
        <w:tc>
          <w:tcPr>
            <w:tcW w:w="1500" w:type="dxa"/>
            <w:tcBorders>
              <w:top w:val="nil"/>
              <w:left w:val="nil"/>
              <w:bottom w:val="nil"/>
              <w:right w:val="nil"/>
            </w:tcBorders>
            <w:shd w:val="clear" w:color="auto" w:fill="auto"/>
            <w:noWrap/>
            <w:vAlign w:val="center"/>
            <w:hideMark/>
          </w:tcPr>
          <w:p w14:paraId="254C2E1D" w14:textId="77777777" w:rsidR="00756F3E" w:rsidRPr="00756F3E" w:rsidRDefault="00756F3E" w:rsidP="00756F3E">
            <w:pPr>
              <w:pStyle w:val="TableText"/>
              <w:jc w:val="center"/>
              <w:rPr>
                <w:lang w:eastAsia="en-GB"/>
              </w:rPr>
            </w:pPr>
            <w:r w:rsidRPr="00756F3E">
              <w:rPr>
                <w:lang w:eastAsia="en-GB"/>
              </w:rPr>
              <w:t>VCSE</w:t>
            </w:r>
          </w:p>
        </w:tc>
      </w:tr>
      <w:tr w:rsidR="00756F3E" w:rsidRPr="00756F3E" w14:paraId="7C7DFAB7" w14:textId="77777777" w:rsidTr="00756F3E">
        <w:trPr>
          <w:trHeight w:val="113"/>
        </w:trPr>
        <w:tc>
          <w:tcPr>
            <w:tcW w:w="4560" w:type="dxa"/>
            <w:gridSpan w:val="2"/>
            <w:tcBorders>
              <w:top w:val="nil"/>
              <w:left w:val="nil"/>
              <w:bottom w:val="nil"/>
              <w:right w:val="nil"/>
            </w:tcBorders>
            <w:shd w:val="clear" w:color="auto" w:fill="auto"/>
            <w:noWrap/>
            <w:vAlign w:val="bottom"/>
            <w:hideMark/>
          </w:tcPr>
          <w:p w14:paraId="556469DE" w14:textId="77777777" w:rsidR="00756F3E" w:rsidRPr="00756F3E" w:rsidRDefault="00756F3E" w:rsidP="00756F3E">
            <w:pPr>
              <w:pStyle w:val="TableText"/>
              <w:rPr>
                <w:sz w:val="10"/>
                <w:szCs w:val="10"/>
                <w:lang w:eastAsia="en-GB"/>
              </w:rPr>
            </w:pPr>
          </w:p>
        </w:tc>
        <w:tc>
          <w:tcPr>
            <w:tcW w:w="1280" w:type="dxa"/>
            <w:tcBorders>
              <w:top w:val="nil"/>
              <w:left w:val="nil"/>
              <w:bottom w:val="nil"/>
              <w:right w:val="nil"/>
            </w:tcBorders>
            <w:shd w:val="clear" w:color="auto" w:fill="auto"/>
            <w:noWrap/>
            <w:vAlign w:val="bottom"/>
            <w:hideMark/>
          </w:tcPr>
          <w:p w14:paraId="083E4597" w14:textId="77777777" w:rsidR="00756F3E" w:rsidRPr="00756F3E" w:rsidRDefault="00756F3E" w:rsidP="00756F3E">
            <w:pPr>
              <w:pStyle w:val="TableText"/>
              <w:rPr>
                <w:rFonts w:cs="Times New Roman"/>
                <w:sz w:val="10"/>
                <w:szCs w:val="10"/>
                <w:lang w:eastAsia="en-GB"/>
              </w:rPr>
            </w:pPr>
          </w:p>
        </w:tc>
        <w:tc>
          <w:tcPr>
            <w:tcW w:w="1815" w:type="dxa"/>
            <w:tcBorders>
              <w:top w:val="nil"/>
              <w:left w:val="nil"/>
              <w:bottom w:val="nil"/>
              <w:right w:val="nil"/>
            </w:tcBorders>
            <w:shd w:val="clear" w:color="auto" w:fill="auto"/>
            <w:noWrap/>
            <w:vAlign w:val="bottom"/>
            <w:hideMark/>
          </w:tcPr>
          <w:p w14:paraId="58006076" w14:textId="77777777" w:rsidR="00756F3E" w:rsidRPr="00756F3E" w:rsidRDefault="00756F3E" w:rsidP="00756F3E">
            <w:pPr>
              <w:pStyle w:val="TableText"/>
              <w:rPr>
                <w:rFonts w:cs="Times New Roman"/>
                <w:sz w:val="10"/>
                <w:szCs w:val="10"/>
                <w:lang w:eastAsia="en-GB"/>
              </w:rPr>
            </w:pPr>
          </w:p>
        </w:tc>
        <w:tc>
          <w:tcPr>
            <w:tcW w:w="1500" w:type="dxa"/>
            <w:tcBorders>
              <w:top w:val="nil"/>
              <w:left w:val="nil"/>
              <w:bottom w:val="nil"/>
              <w:right w:val="nil"/>
            </w:tcBorders>
            <w:shd w:val="clear" w:color="auto" w:fill="auto"/>
            <w:noWrap/>
            <w:vAlign w:val="bottom"/>
            <w:hideMark/>
          </w:tcPr>
          <w:p w14:paraId="218167F6" w14:textId="77777777" w:rsidR="00756F3E" w:rsidRPr="00756F3E" w:rsidRDefault="00756F3E" w:rsidP="00756F3E">
            <w:pPr>
              <w:pStyle w:val="TableText"/>
              <w:rPr>
                <w:rFonts w:cs="Times New Roman"/>
                <w:sz w:val="10"/>
                <w:szCs w:val="10"/>
                <w:lang w:eastAsia="en-GB"/>
              </w:rPr>
            </w:pPr>
          </w:p>
        </w:tc>
      </w:tr>
      <w:tr w:rsidR="00756F3E" w:rsidRPr="00756F3E" w14:paraId="6D0F2094"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08084116" w14:textId="77777777" w:rsidR="00756F3E" w:rsidRPr="00756F3E" w:rsidRDefault="00756F3E" w:rsidP="00756F3E">
            <w:pPr>
              <w:pStyle w:val="TableText"/>
              <w:rPr>
                <w:b/>
                <w:bCs/>
                <w:i/>
                <w:iCs/>
                <w:lang w:eastAsia="en-GB"/>
              </w:rPr>
            </w:pPr>
            <w:r w:rsidRPr="00756F3E">
              <w:rPr>
                <w:b/>
                <w:bCs/>
                <w:i/>
                <w:iCs/>
                <w:lang w:eastAsia="en-GB"/>
              </w:rPr>
              <w:t>In CH Register but not CC</w:t>
            </w:r>
          </w:p>
        </w:tc>
        <w:tc>
          <w:tcPr>
            <w:tcW w:w="1280" w:type="dxa"/>
            <w:tcBorders>
              <w:top w:val="nil"/>
              <w:left w:val="nil"/>
              <w:bottom w:val="single" w:sz="8" w:space="0" w:color="auto"/>
              <w:right w:val="nil"/>
            </w:tcBorders>
            <w:shd w:val="clear" w:color="auto" w:fill="auto"/>
            <w:vAlign w:val="bottom"/>
            <w:hideMark/>
          </w:tcPr>
          <w:p w14:paraId="3FB58D2F"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32F613A6" w14:textId="34AC64DB"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255C9D66"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E00F34" w:rsidRPr="00756F3E" w14:paraId="308B073B"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7861B563" w14:textId="77777777" w:rsidR="00E00F34" w:rsidRPr="00756F3E" w:rsidRDefault="00E00F34" w:rsidP="00E00F34">
            <w:pPr>
              <w:pStyle w:val="TableText"/>
              <w:rPr>
                <w:lang w:eastAsia="en-GB"/>
              </w:rPr>
            </w:pPr>
            <w:r w:rsidRPr="00756F3E">
              <w:rPr>
                <w:lang w:eastAsia="en-GB"/>
              </w:rPr>
              <w:t>Community Interest Company</w:t>
            </w:r>
          </w:p>
        </w:tc>
        <w:tc>
          <w:tcPr>
            <w:tcW w:w="1280" w:type="dxa"/>
            <w:tcBorders>
              <w:top w:val="nil"/>
              <w:left w:val="nil"/>
              <w:bottom w:val="nil"/>
              <w:right w:val="nil"/>
            </w:tcBorders>
            <w:shd w:val="clear" w:color="auto" w:fill="auto"/>
            <w:noWrap/>
            <w:hideMark/>
          </w:tcPr>
          <w:p w14:paraId="57789F42" w14:textId="55E82608" w:rsidR="00E00F34" w:rsidRPr="00756F3E" w:rsidRDefault="00E00F34" w:rsidP="00E00F34">
            <w:pPr>
              <w:pStyle w:val="TableText"/>
              <w:ind w:right="227"/>
              <w:jc w:val="right"/>
              <w:rPr>
                <w:lang w:eastAsia="en-GB"/>
              </w:rPr>
            </w:pPr>
            <w:r w:rsidRPr="00D621B3">
              <w:t>12</w:t>
            </w:r>
            <w:r w:rsidR="0012796C">
              <w:t>7</w:t>
            </w:r>
          </w:p>
        </w:tc>
        <w:tc>
          <w:tcPr>
            <w:tcW w:w="1815" w:type="dxa"/>
            <w:tcBorders>
              <w:top w:val="nil"/>
              <w:left w:val="nil"/>
              <w:bottom w:val="nil"/>
              <w:right w:val="nil"/>
            </w:tcBorders>
            <w:shd w:val="clear" w:color="auto" w:fill="auto"/>
            <w:noWrap/>
            <w:hideMark/>
          </w:tcPr>
          <w:p w14:paraId="49829067" w14:textId="744B7666" w:rsidR="00E00F34" w:rsidRPr="00756F3E" w:rsidRDefault="00E00F34" w:rsidP="00E00F34">
            <w:pPr>
              <w:pStyle w:val="TableText"/>
              <w:ind w:right="227"/>
              <w:jc w:val="right"/>
              <w:rPr>
                <w:lang w:eastAsia="en-GB"/>
              </w:rPr>
            </w:pPr>
            <w:r w:rsidRPr="00D621B3">
              <w:t>£801.</w:t>
            </w:r>
            <w:r w:rsidR="00B17D7D">
              <w:t>8</w:t>
            </w:r>
            <w:r w:rsidRPr="00D621B3">
              <w:t>62</w:t>
            </w:r>
          </w:p>
        </w:tc>
        <w:tc>
          <w:tcPr>
            <w:tcW w:w="1500" w:type="dxa"/>
            <w:tcBorders>
              <w:top w:val="nil"/>
              <w:left w:val="nil"/>
              <w:bottom w:val="nil"/>
              <w:right w:val="nil"/>
            </w:tcBorders>
            <w:shd w:val="clear" w:color="auto" w:fill="auto"/>
            <w:noWrap/>
            <w:vAlign w:val="center"/>
            <w:hideMark/>
          </w:tcPr>
          <w:p w14:paraId="30EA88B3"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05A1BD8F"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60A131DB" w14:textId="77777777" w:rsidR="00E00F34" w:rsidRPr="00756F3E" w:rsidRDefault="00E00F34" w:rsidP="00E00F34">
            <w:pPr>
              <w:pStyle w:val="TableText"/>
              <w:rPr>
                <w:lang w:eastAsia="en-GB"/>
              </w:rPr>
            </w:pPr>
            <w:r w:rsidRPr="00756F3E">
              <w:rPr>
                <w:lang w:eastAsia="en-GB"/>
              </w:rPr>
              <w:t>Industrial and Provident Society</w:t>
            </w:r>
          </w:p>
        </w:tc>
        <w:tc>
          <w:tcPr>
            <w:tcW w:w="1280" w:type="dxa"/>
            <w:tcBorders>
              <w:top w:val="nil"/>
              <w:left w:val="nil"/>
              <w:bottom w:val="nil"/>
              <w:right w:val="nil"/>
            </w:tcBorders>
            <w:shd w:val="clear" w:color="auto" w:fill="auto"/>
            <w:noWrap/>
            <w:hideMark/>
          </w:tcPr>
          <w:p w14:paraId="23028D14" w14:textId="19C32F5A" w:rsidR="00E00F34" w:rsidRPr="00756F3E" w:rsidRDefault="00E00F34" w:rsidP="00E00F34">
            <w:pPr>
              <w:pStyle w:val="TableText"/>
              <w:ind w:right="227"/>
              <w:jc w:val="right"/>
              <w:rPr>
                <w:lang w:eastAsia="en-GB"/>
              </w:rPr>
            </w:pPr>
            <w:r w:rsidRPr="00D621B3">
              <w:t>4</w:t>
            </w:r>
          </w:p>
        </w:tc>
        <w:tc>
          <w:tcPr>
            <w:tcW w:w="1815" w:type="dxa"/>
            <w:tcBorders>
              <w:top w:val="nil"/>
              <w:left w:val="nil"/>
              <w:bottom w:val="nil"/>
              <w:right w:val="nil"/>
            </w:tcBorders>
            <w:shd w:val="clear" w:color="auto" w:fill="auto"/>
            <w:noWrap/>
            <w:hideMark/>
          </w:tcPr>
          <w:p w14:paraId="33EB0F09" w14:textId="3D560D63" w:rsidR="00E00F34" w:rsidRPr="00756F3E" w:rsidRDefault="00E00F34" w:rsidP="00E00F34">
            <w:pPr>
              <w:pStyle w:val="TableText"/>
              <w:ind w:right="227"/>
              <w:jc w:val="right"/>
              <w:rPr>
                <w:lang w:eastAsia="en-GB"/>
              </w:rPr>
            </w:pPr>
            <w:r w:rsidRPr="00D621B3">
              <w:t>£9.944</w:t>
            </w:r>
          </w:p>
        </w:tc>
        <w:tc>
          <w:tcPr>
            <w:tcW w:w="1500" w:type="dxa"/>
            <w:tcBorders>
              <w:top w:val="nil"/>
              <w:left w:val="nil"/>
              <w:bottom w:val="nil"/>
              <w:right w:val="nil"/>
            </w:tcBorders>
            <w:shd w:val="clear" w:color="auto" w:fill="auto"/>
            <w:noWrap/>
            <w:vAlign w:val="center"/>
            <w:hideMark/>
          </w:tcPr>
          <w:p w14:paraId="5BAC8CC8"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01CC4CC7"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28F1D5D1" w14:textId="77777777" w:rsidR="00E00F34" w:rsidRPr="00756F3E" w:rsidRDefault="00E00F34" w:rsidP="00E00F34">
            <w:pPr>
              <w:pStyle w:val="TableText"/>
              <w:rPr>
                <w:lang w:eastAsia="en-GB"/>
              </w:rPr>
            </w:pPr>
            <w:r w:rsidRPr="00756F3E">
              <w:rPr>
                <w:lang w:eastAsia="en-GB"/>
              </w:rPr>
              <w:t>Registered Society</w:t>
            </w:r>
          </w:p>
        </w:tc>
        <w:tc>
          <w:tcPr>
            <w:tcW w:w="1280" w:type="dxa"/>
            <w:tcBorders>
              <w:top w:val="nil"/>
              <w:left w:val="nil"/>
              <w:bottom w:val="nil"/>
              <w:right w:val="nil"/>
            </w:tcBorders>
            <w:shd w:val="clear" w:color="auto" w:fill="auto"/>
            <w:noWrap/>
            <w:hideMark/>
          </w:tcPr>
          <w:p w14:paraId="60A4759C" w14:textId="7346798A" w:rsidR="00E00F34" w:rsidRPr="00756F3E" w:rsidRDefault="00E00F34" w:rsidP="00E00F34">
            <w:pPr>
              <w:pStyle w:val="TableText"/>
              <w:ind w:right="227"/>
              <w:jc w:val="right"/>
              <w:rPr>
                <w:lang w:eastAsia="en-GB"/>
              </w:rPr>
            </w:pPr>
            <w:r w:rsidRPr="00D621B3">
              <w:t>62</w:t>
            </w:r>
          </w:p>
        </w:tc>
        <w:tc>
          <w:tcPr>
            <w:tcW w:w="1815" w:type="dxa"/>
            <w:tcBorders>
              <w:top w:val="nil"/>
              <w:left w:val="nil"/>
              <w:bottom w:val="nil"/>
              <w:right w:val="nil"/>
            </w:tcBorders>
            <w:shd w:val="clear" w:color="auto" w:fill="auto"/>
            <w:noWrap/>
            <w:hideMark/>
          </w:tcPr>
          <w:p w14:paraId="2040D4D7" w14:textId="45F3B614" w:rsidR="00E00F34" w:rsidRPr="00756F3E" w:rsidRDefault="00E00F34" w:rsidP="00E00F34">
            <w:pPr>
              <w:pStyle w:val="TableText"/>
              <w:ind w:right="227"/>
              <w:jc w:val="right"/>
              <w:rPr>
                <w:lang w:eastAsia="en-GB"/>
              </w:rPr>
            </w:pPr>
            <w:r w:rsidRPr="00D621B3">
              <w:t>£177.226</w:t>
            </w:r>
          </w:p>
        </w:tc>
        <w:tc>
          <w:tcPr>
            <w:tcW w:w="1500" w:type="dxa"/>
            <w:tcBorders>
              <w:top w:val="nil"/>
              <w:left w:val="nil"/>
              <w:bottom w:val="nil"/>
              <w:right w:val="nil"/>
            </w:tcBorders>
            <w:shd w:val="clear" w:color="auto" w:fill="auto"/>
            <w:noWrap/>
            <w:vAlign w:val="center"/>
            <w:hideMark/>
          </w:tcPr>
          <w:p w14:paraId="7231F68C"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1561200B"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15AA21C6" w14:textId="77777777" w:rsidR="00E00F34" w:rsidRPr="00756F3E" w:rsidRDefault="00E00F34" w:rsidP="00E00F34">
            <w:pPr>
              <w:pStyle w:val="TableText"/>
              <w:rPr>
                <w:lang w:eastAsia="en-GB"/>
              </w:rPr>
            </w:pPr>
            <w:r w:rsidRPr="00756F3E">
              <w:rPr>
                <w:lang w:eastAsia="en-GB"/>
              </w:rPr>
              <w:t>Social Enterprise company</w:t>
            </w:r>
          </w:p>
        </w:tc>
        <w:tc>
          <w:tcPr>
            <w:tcW w:w="1280" w:type="dxa"/>
            <w:tcBorders>
              <w:top w:val="nil"/>
              <w:left w:val="nil"/>
              <w:bottom w:val="nil"/>
              <w:right w:val="nil"/>
            </w:tcBorders>
            <w:shd w:val="clear" w:color="auto" w:fill="auto"/>
            <w:noWrap/>
            <w:hideMark/>
          </w:tcPr>
          <w:p w14:paraId="3ADE543E" w14:textId="6B2B7639" w:rsidR="00E00F34" w:rsidRPr="00756F3E" w:rsidRDefault="00E00F34" w:rsidP="00E00F34">
            <w:pPr>
              <w:pStyle w:val="TableText"/>
              <w:ind w:right="227"/>
              <w:jc w:val="right"/>
              <w:rPr>
                <w:lang w:eastAsia="en-GB"/>
              </w:rPr>
            </w:pPr>
            <w:r w:rsidRPr="00D621B3">
              <w:t>1</w:t>
            </w:r>
          </w:p>
        </w:tc>
        <w:tc>
          <w:tcPr>
            <w:tcW w:w="1815" w:type="dxa"/>
            <w:tcBorders>
              <w:top w:val="nil"/>
              <w:left w:val="nil"/>
              <w:bottom w:val="nil"/>
              <w:right w:val="nil"/>
            </w:tcBorders>
            <w:shd w:val="clear" w:color="auto" w:fill="auto"/>
            <w:noWrap/>
            <w:hideMark/>
          </w:tcPr>
          <w:p w14:paraId="7E52988D" w14:textId="67FC1890" w:rsidR="00E00F34" w:rsidRPr="00756F3E" w:rsidRDefault="00E00F34" w:rsidP="00E00F34">
            <w:pPr>
              <w:pStyle w:val="TableText"/>
              <w:ind w:right="227"/>
              <w:jc w:val="right"/>
              <w:rPr>
                <w:lang w:eastAsia="en-GB"/>
              </w:rPr>
            </w:pPr>
            <w:r w:rsidRPr="00D621B3">
              <w:t>£0.048</w:t>
            </w:r>
          </w:p>
        </w:tc>
        <w:tc>
          <w:tcPr>
            <w:tcW w:w="1500" w:type="dxa"/>
            <w:tcBorders>
              <w:top w:val="nil"/>
              <w:left w:val="nil"/>
              <w:bottom w:val="nil"/>
              <w:right w:val="nil"/>
            </w:tcBorders>
            <w:shd w:val="clear" w:color="auto" w:fill="auto"/>
            <w:noWrap/>
            <w:vAlign w:val="center"/>
            <w:hideMark/>
          </w:tcPr>
          <w:p w14:paraId="41B344BF"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36A76C2B"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4A16F281" w14:textId="0EE825D0" w:rsidR="00E00F34" w:rsidRPr="00756F3E" w:rsidRDefault="00E00F34" w:rsidP="00E00F34">
            <w:pPr>
              <w:pStyle w:val="TableText"/>
              <w:rPr>
                <w:lang w:eastAsia="en-GB"/>
              </w:rPr>
            </w:pPr>
            <w:r w:rsidRPr="00D04F2A">
              <w:rPr>
                <w:lang w:eastAsia="en-GB"/>
              </w:rPr>
              <w:t>Private Limited Companies by guarantee</w:t>
            </w:r>
          </w:p>
        </w:tc>
        <w:tc>
          <w:tcPr>
            <w:tcW w:w="1280" w:type="dxa"/>
            <w:tcBorders>
              <w:top w:val="nil"/>
              <w:left w:val="nil"/>
              <w:bottom w:val="nil"/>
              <w:right w:val="nil"/>
            </w:tcBorders>
            <w:shd w:val="clear" w:color="auto" w:fill="auto"/>
            <w:noWrap/>
            <w:hideMark/>
          </w:tcPr>
          <w:p w14:paraId="6D6214A7" w14:textId="42E7BA48" w:rsidR="00E00F34" w:rsidRPr="00756F3E" w:rsidRDefault="00E00F34" w:rsidP="00E00F34">
            <w:pPr>
              <w:pStyle w:val="TableText"/>
              <w:ind w:right="227"/>
              <w:jc w:val="right"/>
              <w:rPr>
                <w:lang w:eastAsia="en-GB"/>
              </w:rPr>
            </w:pPr>
            <w:r w:rsidRPr="00D621B3">
              <w:t>35</w:t>
            </w:r>
          </w:p>
        </w:tc>
        <w:tc>
          <w:tcPr>
            <w:tcW w:w="1815" w:type="dxa"/>
            <w:tcBorders>
              <w:top w:val="nil"/>
              <w:left w:val="nil"/>
              <w:bottom w:val="nil"/>
              <w:right w:val="nil"/>
            </w:tcBorders>
            <w:shd w:val="clear" w:color="auto" w:fill="auto"/>
            <w:noWrap/>
            <w:hideMark/>
          </w:tcPr>
          <w:p w14:paraId="66BF4A0B" w14:textId="566992E1" w:rsidR="00E00F34" w:rsidRPr="00756F3E" w:rsidRDefault="00E00F34" w:rsidP="00E00F34">
            <w:pPr>
              <w:pStyle w:val="TableText"/>
              <w:ind w:right="227"/>
              <w:jc w:val="right"/>
              <w:rPr>
                <w:lang w:eastAsia="en-GB"/>
              </w:rPr>
            </w:pPr>
            <w:r w:rsidRPr="00D621B3">
              <w:t>£161.333</w:t>
            </w:r>
          </w:p>
        </w:tc>
        <w:tc>
          <w:tcPr>
            <w:tcW w:w="1500" w:type="dxa"/>
            <w:tcBorders>
              <w:top w:val="nil"/>
              <w:left w:val="nil"/>
              <w:bottom w:val="nil"/>
              <w:right w:val="nil"/>
            </w:tcBorders>
            <w:shd w:val="clear" w:color="auto" w:fill="auto"/>
            <w:noWrap/>
            <w:vAlign w:val="center"/>
            <w:hideMark/>
          </w:tcPr>
          <w:p w14:paraId="5388801B"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3C8FB48C"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4FED77B9" w14:textId="77777777" w:rsidR="00E00F34" w:rsidRPr="00756F3E" w:rsidRDefault="00E00F34" w:rsidP="00E00F34">
            <w:pPr>
              <w:pStyle w:val="TableText"/>
              <w:rPr>
                <w:lang w:eastAsia="en-GB"/>
              </w:rPr>
            </w:pPr>
            <w:r w:rsidRPr="00756F3E">
              <w:rPr>
                <w:lang w:eastAsia="en-GB"/>
              </w:rPr>
              <w:t>Private Limited Company</w:t>
            </w:r>
          </w:p>
        </w:tc>
        <w:tc>
          <w:tcPr>
            <w:tcW w:w="1280" w:type="dxa"/>
            <w:tcBorders>
              <w:top w:val="nil"/>
              <w:left w:val="nil"/>
              <w:bottom w:val="nil"/>
              <w:right w:val="nil"/>
            </w:tcBorders>
            <w:shd w:val="clear" w:color="auto" w:fill="auto"/>
            <w:noWrap/>
            <w:hideMark/>
          </w:tcPr>
          <w:p w14:paraId="6416E6B2" w14:textId="1BE55294" w:rsidR="00E00F34" w:rsidRPr="00756F3E" w:rsidRDefault="00E00F34" w:rsidP="00E00F34">
            <w:pPr>
              <w:pStyle w:val="TableText"/>
              <w:ind w:right="227"/>
              <w:jc w:val="right"/>
              <w:rPr>
                <w:lang w:eastAsia="en-GB"/>
              </w:rPr>
            </w:pPr>
            <w:r w:rsidRPr="00D621B3">
              <w:t>1</w:t>
            </w:r>
          </w:p>
        </w:tc>
        <w:tc>
          <w:tcPr>
            <w:tcW w:w="1815" w:type="dxa"/>
            <w:tcBorders>
              <w:top w:val="nil"/>
              <w:left w:val="nil"/>
              <w:bottom w:val="nil"/>
              <w:right w:val="nil"/>
            </w:tcBorders>
            <w:shd w:val="clear" w:color="auto" w:fill="auto"/>
            <w:noWrap/>
            <w:hideMark/>
          </w:tcPr>
          <w:p w14:paraId="5D9D297B" w14:textId="0931DF02" w:rsidR="00E00F34" w:rsidRPr="00756F3E" w:rsidRDefault="00E00F34" w:rsidP="00E00F34">
            <w:pPr>
              <w:pStyle w:val="TableText"/>
              <w:ind w:right="227"/>
              <w:jc w:val="right"/>
              <w:rPr>
                <w:lang w:eastAsia="en-GB"/>
              </w:rPr>
            </w:pPr>
            <w:r w:rsidRPr="00D621B3">
              <w:t>£2.965</w:t>
            </w:r>
          </w:p>
        </w:tc>
        <w:tc>
          <w:tcPr>
            <w:tcW w:w="1500" w:type="dxa"/>
            <w:tcBorders>
              <w:top w:val="nil"/>
              <w:left w:val="nil"/>
              <w:bottom w:val="nil"/>
              <w:right w:val="nil"/>
            </w:tcBorders>
            <w:shd w:val="clear" w:color="auto" w:fill="auto"/>
            <w:noWrap/>
            <w:vAlign w:val="center"/>
            <w:hideMark/>
          </w:tcPr>
          <w:p w14:paraId="714D4652"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0A6CA4D4"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700E22F7" w14:textId="124A7D17" w:rsidR="00E00F34" w:rsidRPr="00756F3E" w:rsidRDefault="00E00F34" w:rsidP="00E00F34">
            <w:pPr>
              <w:pStyle w:val="TableText"/>
              <w:rPr>
                <w:lang w:eastAsia="en-GB"/>
              </w:rPr>
            </w:pPr>
            <w:r w:rsidRPr="00D04F2A">
              <w:rPr>
                <w:lang w:eastAsia="en-GB"/>
              </w:rPr>
              <w:t>Private Limited Companies by guarantee</w:t>
            </w:r>
          </w:p>
        </w:tc>
        <w:tc>
          <w:tcPr>
            <w:tcW w:w="1280" w:type="dxa"/>
            <w:tcBorders>
              <w:top w:val="nil"/>
              <w:left w:val="nil"/>
              <w:bottom w:val="nil"/>
              <w:right w:val="nil"/>
            </w:tcBorders>
            <w:shd w:val="clear" w:color="auto" w:fill="auto"/>
            <w:noWrap/>
            <w:hideMark/>
          </w:tcPr>
          <w:p w14:paraId="69606234" w14:textId="45205004" w:rsidR="00E00F34" w:rsidRPr="00756F3E" w:rsidRDefault="00E00F34" w:rsidP="00E00F34">
            <w:pPr>
              <w:pStyle w:val="TableText"/>
              <w:ind w:right="227"/>
              <w:jc w:val="right"/>
              <w:rPr>
                <w:lang w:eastAsia="en-GB"/>
              </w:rPr>
            </w:pPr>
            <w:r w:rsidRPr="00D621B3">
              <w:t>68</w:t>
            </w:r>
          </w:p>
        </w:tc>
        <w:tc>
          <w:tcPr>
            <w:tcW w:w="1815" w:type="dxa"/>
            <w:tcBorders>
              <w:top w:val="nil"/>
              <w:left w:val="nil"/>
              <w:bottom w:val="nil"/>
              <w:right w:val="nil"/>
            </w:tcBorders>
            <w:shd w:val="clear" w:color="auto" w:fill="auto"/>
            <w:noWrap/>
            <w:hideMark/>
          </w:tcPr>
          <w:p w14:paraId="31A44420" w14:textId="3D4DFF02" w:rsidR="00E00F34" w:rsidRPr="00756F3E" w:rsidRDefault="00E00F34" w:rsidP="00E00F34">
            <w:pPr>
              <w:pStyle w:val="TableText"/>
              <w:ind w:right="227"/>
              <w:jc w:val="right"/>
              <w:rPr>
                <w:lang w:eastAsia="en-GB"/>
              </w:rPr>
            </w:pPr>
            <w:r w:rsidRPr="00D621B3">
              <w:t>£26.149</w:t>
            </w:r>
          </w:p>
        </w:tc>
        <w:tc>
          <w:tcPr>
            <w:tcW w:w="1500" w:type="dxa"/>
            <w:tcBorders>
              <w:top w:val="nil"/>
              <w:left w:val="nil"/>
              <w:bottom w:val="nil"/>
              <w:right w:val="nil"/>
            </w:tcBorders>
            <w:shd w:val="clear" w:color="auto" w:fill="auto"/>
            <w:noWrap/>
            <w:vAlign w:val="center"/>
            <w:hideMark/>
          </w:tcPr>
          <w:p w14:paraId="05D6544C" w14:textId="77777777" w:rsidR="00E00F34" w:rsidRPr="00756F3E" w:rsidRDefault="00E00F34" w:rsidP="00E00F34">
            <w:pPr>
              <w:pStyle w:val="TableText"/>
              <w:jc w:val="center"/>
              <w:rPr>
                <w:lang w:eastAsia="en-GB"/>
              </w:rPr>
            </w:pPr>
            <w:r w:rsidRPr="00756F3E">
              <w:rPr>
                <w:lang w:eastAsia="en-GB"/>
              </w:rPr>
              <w:t>Not VCSE</w:t>
            </w:r>
          </w:p>
        </w:tc>
      </w:tr>
      <w:tr w:rsidR="00E00F34" w:rsidRPr="00756F3E" w14:paraId="08ADAA4A"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04FC1BDB" w14:textId="2EDB0B86" w:rsidR="00E00F34" w:rsidRPr="00756F3E" w:rsidRDefault="00E00F34" w:rsidP="00E00F34">
            <w:pPr>
              <w:pStyle w:val="TableText"/>
              <w:rPr>
                <w:lang w:eastAsia="en-GB"/>
              </w:rPr>
            </w:pPr>
            <w:r w:rsidRPr="00756F3E">
              <w:rPr>
                <w:lang w:eastAsia="en-GB"/>
              </w:rPr>
              <w:t>Other CH</w:t>
            </w:r>
            <w:r>
              <w:rPr>
                <w:lang w:eastAsia="en-GB"/>
              </w:rPr>
              <w:t xml:space="preserve"> Company Types </w:t>
            </w:r>
            <w:r>
              <w:rPr>
                <w:rFonts w:cs="Times New Roman"/>
                <w:lang w:eastAsia="en-GB"/>
              </w:rPr>
              <w:t>†</w:t>
            </w:r>
          </w:p>
        </w:tc>
        <w:tc>
          <w:tcPr>
            <w:tcW w:w="1280" w:type="dxa"/>
            <w:tcBorders>
              <w:top w:val="nil"/>
              <w:left w:val="nil"/>
              <w:bottom w:val="nil"/>
              <w:right w:val="nil"/>
            </w:tcBorders>
            <w:shd w:val="clear" w:color="auto" w:fill="auto"/>
            <w:noWrap/>
            <w:hideMark/>
          </w:tcPr>
          <w:p w14:paraId="56C554EF" w14:textId="5A109CBA" w:rsidR="00E00F34" w:rsidRPr="00756F3E" w:rsidRDefault="00E00F34" w:rsidP="00E00F34">
            <w:pPr>
              <w:pStyle w:val="TableText"/>
              <w:ind w:right="227"/>
              <w:jc w:val="right"/>
              <w:rPr>
                <w:lang w:eastAsia="en-GB"/>
              </w:rPr>
            </w:pPr>
            <w:r w:rsidRPr="00D621B3">
              <w:t>113</w:t>
            </w:r>
          </w:p>
        </w:tc>
        <w:tc>
          <w:tcPr>
            <w:tcW w:w="1815" w:type="dxa"/>
            <w:tcBorders>
              <w:top w:val="nil"/>
              <w:left w:val="nil"/>
              <w:bottom w:val="nil"/>
              <w:right w:val="nil"/>
            </w:tcBorders>
            <w:shd w:val="clear" w:color="auto" w:fill="auto"/>
            <w:noWrap/>
            <w:hideMark/>
          </w:tcPr>
          <w:p w14:paraId="6B582D63" w14:textId="6523A154" w:rsidR="00E00F34" w:rsidRPr="00756F3E" w:rsidRDefault="00E00F34" w:rsidP="00E00F34">
            <w:pPr>
              <w:pStyle w:val="TableText"/>
              <w:ind w:right="227"/>
              <w:jc w:val="right"/>
              <w:rPr>
                <w:lang w:eastAsia="en-GB"/>
              </w:rPr>
            </w:pPr>
            <w:r w:rsidRPr="00D621B3">
              <w:t>£146.280</w:t>
            </w:r>
          </w:p>
        </w:tc>
        <w:tc>
          <w:tcPr>
            <w:tcW w:w="1500" w:type="dxa"/>
            <w:tcBorders>
              <w:top w:val="nil"/>
              <w:left w:val="nil"/>
              <w:bottom w:val="nil"/>
              <w:right w:val="nil"/>
            </w:tcBorders>
            <w:shd w:val="clear" w:color="auto" w:fill="auto"/>
            <w:noWrap/>
            <w:vAlign w:val="center"/>
            <w:hideMark/>
          </w:tcPr>
          <w:p w14:paraId="30D223A1" w14:textId="77777777" w:rsidR="00E00F34" w:rsidRPr="00756F3E" w:rsidRDefault="00E00F34" w:rsidP="00E00F34">
            <w:pPr>
              <w:pStyle w:val="TableText"/>
              <w:jc w:val="center"/>
              <w:rPr>
                <w:lang w:eastAsia="en-GB"/>
              </w:rPr>
            </w:pPr>
            <w:r w:rsidRPr="00756F3E">
              <w:rPr>
                <w:lang w:eastAsia="en-GB"/>
              </w:rPr>
              <w:t>Not VCSE</w:t>
            </w:r>
          </w:p>
        </w:tc>
      </w:tr>
      <w:tr w:rsidR="00E00F34" w:rsidRPr="00756F3E" w14:paraId="39EE3E91"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096A8159" w14:textId="77777777" w:rsidR="00E00F34" w:rsidRPr="00756F3E" w:rsidRDefault="00E00F34" w:rsidP="00E00F34">
            <w:pPr>
              <w:pStyle w:val="TableText"/>
              <w:rPr>
                <w:lang w:eastAsia="en-GB"/>
              </w:rPr>
            </w:pPr>
            <w:r w:rsidRPr="00756F3E">
              <w:rPr>
                <w:lang w:eastAsia="en-GB"/>
              </w:rPr>
              <w:t>Private Limited Company</w:t>
            </w:r>
          </w:p>
        </w:tc>
        <w:tc>
          <w:tcPr>
            <w:tcW w:w="1280" w:type="dxa"/>
            <w:tcBorders>
              <w:top w:val="nil"/>
              <w:left w:val="nil"/>
              <w:bottom w:val="nil"/>
              <w:right w:val="nil"/>
            </w:tcBorders>
            <w:shd w:val="clear" w:color="auto" w:fill="auto"/>
            <w:noWrap/>
            <w:hideMark/>
          </w:tcPr>
          <w:p w14:paraId="55F0EA1B" w14:textId="65CE3E32" w:rsidR="00E00F34" w:rsidRPr="00756F3E" w:rsidRDefault="00E00F34" w:rsidP="00E00F34">
            <w:pPr>
              <w:pStyle w:val="TableText"/>
              <w:ind w:right="227"/>
              <w:jc w:val="right"/>
              <w:rPr>
                <w:lang w:eastAsia="en-GB"/>
              </w:rPr>
            </w:pPr>
            <w:r w:rsidRPr="00D621B3">
              <w:t>2</w:t>
            </w:r>
            <w:r>
              <w:t>,</w:t>
            </w:r>
            <w:r w:rsidRPr="00D621B3">
              <w:t>1</w:t>
            </w:r>
            <w:r w:rsidR="0012796C">
              <w:t>68</w:t>
            </w:r>
          </w:p>
        </w:tc>
        <w:tc>
          <w:tcPr>
            <w:tcW w:w="1815" w:type="dxa"/>
            <w:tcBorders>
              <w:top w:val="nil"/>
              <w:left w:val="nil"/>
              <w:bottom w:val="nil"/>
              <w:right w:val="nil"/>
            </w:tcBorders>
            <w:shd w:val="clear" w:color="auto" w:fill="auto"/>
            <w:noWrap/>
            <w:hideMark/>
          </w:tcPr>
          <w:p w14:paraId="1651DF2F" w14:textId="6516DDE2" w:rsidR="00E00F34" w:rsidRPr="00756F3E" w:rsidRDefault="00E00F34" w:rsidP="00E00F34">
            <w:pPr>
              <w:pStyle w:val="TableText"/>
              <w:ind w:right="227"/>
              <w:jc w:val="right"/>
              <w:rPr>
                <w:lang w:eastAsia="en-GB"/>
              </w:rPr>
            </w:pPr>
            <w:r w:rsidRPr="00D621B3">
              <w:t>£</w:t>
            </w:r>
            <w:r w:rsidR="00B17D7D">
              <w:t>3,665.184</w:t>
            </w:r>
          </w:p>
        </w:tc>
        <w:tc>
          <w:tcPr>
            <w:tcW w:w="1500" w:type="dxa"/>
            <w:tcBorders>
              <w:top w:val="nil"/>
              <w:left w:val="nil"/>
              <w:bottom w:val="nil"/>
              <w:right w:val="nil"/>
            </w:tcBorders>
            <w:shd w:val="clear" w:color="auto" w:fill="auto"/>
            <w:noWrap/>
            <w:vAlign w:val="center"/>
            <w:hideMark/>
          </w:tcPr>
          <w:p w14:paraId="5DEBCB97" w14:textId="77777777" w:rsidR="00E00F34" w:rsidRPr="00756F3E" w:rsidRDefault="00E00F34" w:rsidP="00E00F34">
            <w:pPr>
              <w:pStyle w:val="TableText"/>
              <w:jc w:val="center"/>
              <w:rPr>
                <w:lang w:eastAsia="en-GB"/>
              </w:rPr>
            </w:pPr>
            <w:r w:rsidRPr="00756F3E">
              <w:rPr>
                <w:lang w:eastAsia="en-GB"/>
              </w:rPr>
              <w:t>Not VCSE</w:t>
            </w:r>
          </w:p>
        </w:tc>
      </w:tr>
      <w:tr w:rsidR="00756F3E" w:rsidRPr="00756F3E" w14:paraId="3C3913B7" w14:textId="77777777" w:rsidTr="00756F3E">
        <w:trPr>
          <w:trHeight w:val="113"/>
        </w:trPr>
        <w:tc>
          <w:tcPr>
            <w:tcW w:w="4560" w:type="dxa"/>
            <w:gridSpan w:val="2"/>
            <w:tcBorders>
              <w:top w:val="nil"/>
              <w:left w:val="nil"/>
              <w:bottom w:val="nil"/>
              <w:right w:val="nil"/>
            </w:tcBorders>
            <w:shd w:val="clear" w:color="auto" w:fill="auto"/>
            <w:noWrap/>
            <w:vAlign w:val="bottom"/>
            <w:hideMark/>
          </w:tcPr>
          <w:p w14:paraId="03E30AEF" w14:textId="77777777" w:rsidR="00756F3E" w:rsidRPr="00756F3E" w:rsidRDefault="00756F3E" w:rsidP="00756F3E">
            <w:pPr>
              <w:pStyle w:val="TableText"/>
              <w:rPr>
                <w:sz w:val="10"/>
                <w:szCs w:val="10"/>
                <w:lang w:eastAsia="en-GB"/>
              </w:rPr>
            </w:pPr>
          </w:p>
        </w:tc>
        <w:tc>
          <w:tcPr>
            <w:tcW w:w="1280" w:type="dxa"/>
            <w:tcBorders>
              <w:top w:val="nil"/>
              <w:left w:val="nil"/>
              <w:bottom w:val="nil"/>
              <w:right w:val="nil"/>
            </w:tcBorders>
            <w:shd w:val="clear" w:color="auto" w:fill="auto"/>
            <w:noWrap/>
            <w:vAlign w:val="bottom"/>
            <w:hideMark/>
          </w:tcPr>
          <w:p w14:paraId="38272687" w14:textId="77777777" w:rsidR="00756F3E" w:rsidRPr="00756F3E" w:rsidRDefault="00756F3E" w:rsidP="00756F3E">
            <w:pPr>
              <w:pStyle w:val="TableText"/>
              <w:rPr>
                <w:rFonts w:cs="Times New Roman"/>
                <w:sz w:val="10"/>
                <w:szCs w:val="10"/>
                <w:lang w:eastAsia="en-GB"/>
              </w:rPr>
            </w:pPr>
          </w:p>
        </w:tc>
        <w:tc>
          <w:tcPr>
            <w:tcW w:w="1815" w:type="dxa"/>
            <w:tcBorders>
              <w:top w:val="nil"/>
              <w:left w:val="nil"/>
              <w:bottom w:val="nil"/>
              <w:right w:val="nil"/>
            </w:tcBorders>
            <w:shd w:val="clear" w:color="auto" w:fill="auto"/>
            <w:noWrap/>
            <w:vAlign w:val="bottom"/>
            <w:hideMark/>
          </w:tcPr>
          <w:p w14:paraId="50FDC941" w14:textId="77777777" w:rsidR="00756F3E" w:rsidRPr="00756F3E" w:rsidRDefault="00756F3E" w:rsidP="00756F3E">
            <w:pPr>
              <w:pStyle w:val="TableText"/>
              <w:rPr>
                <w:rFonts w:cs="Times New Roman"/>
                <w:sz w:val="10"/>
                <w:szCs w:val="10"/>
                <w:lang w:eastAsia="en-GB"/>
              </w:rPr>
            </w:pPr>
          </w:p>
        </w:tc>
        <w:tc>
          <w:tcPr>
            <w:tcW w:w="1500" w:type="dxa"/>
            <w:tcBorders>
              <w:top w:val="nil"/>
              <w:left w:val="nil"/>
              <w:bottom w:val="nil"/>
              <w:right w:val="nil"/>
            </w:tcBorders>
            <w:shd w:val="clear" w:color="auto" w:fill="auto"/>
            <w:noWrap/>
            <w:vAlign w:val="bottom"/>
            <w:hideMark/>
          </w:tcPr>
          <w:p w14:paraId="331EB601" w14:textId="77777777" w:rsidR="00756F3E" w:rsidRPr="00756F3E" w:rsidRDefault="00756F3E" w:rsidP="00756F3E">
            <w:pPr>
              <w:pStyle w:val="TableText"/>
              <w:rPr>
                <w:rFonts w:cs="Times New Roman"/>
                <w:sz w:val="10"/>
                <w:szCs w:val="10"/>
                <w:lang w:eastAsia="en-GB"/>
              </w:rPr>
            </w:pPr>
          </w:p>
        </w:tc>
      </w:tr>
      <w:tr w:rsidR="00756F3E" w:rsidRPr="00756F3E" w14:paraId="221CEE23"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74B614AA" w14:textId="77777777" w:rsidR="00756F3E" w:rsidRPr="00756F3E" w:rsidRDefault="00756F3E" w:rsidP="00756F3E">
            <w:pPr>
              <w:pStyle w:val="TableText"/>
              <w:rPr>
                <w:b/>
                <w:bCs/>
                <w:i/>
                <w:iCs/>
                <w:lang w:eastAsia="en-GB"/>
              </w:rPr>
            </w:pPr>
            <w:r w:rsidRPr="00756F3E">
              <w:rPr>
                <w:b/>
                <w:bCs/>
                <w:i/>
                <w:iCs/>
                <w:lang w:eastAsia="en-GB"/>
              </w:rPr>
              <w:t xml:space="preserve">Identified as NHS, </w:t>
            </w:r>
            <w:proofErr w:type="gramStart"/>
            <w:r w:rsidRPr="00756F3E">
              <w:rPr>
                <w:b/>
                <w:bCs/>
                <w:i/>
                <w:iCs/>
                <w:lang w:eastAsia="en-GB"/>
              </w:rPr>
              <w:t>LA</w:t>
            </w:r>
            <w:proofErr w:type="gramEnd"/>
            <w:r w:rsidRPr="00756F3E">
              <w:rPr>
                <w:b/>
                <w:bCs/>
                <w:i/>
                <w:iCs/>
                <w:lang w:eastAsia="en-GB"/>
              </w:rPr>
              <w:t xml:space="preserve"> or GOV Organisations</w:t>
            </w:r>
          </w:p>
        </w:tc>
        <w:tc>
          <w:tcPr>
            <w:tcW w:w="1280" w:type="dxa"/>
            <w:tcBorders>
              <w:top w:val="nil"/>
              <w:left w:val="nil"/>
              <w:bottom w:val="single" w:sz="8" w:space="0" w:color="auto"/>
              <w:right w:val="nil"/>
            </w:tcBorders>
            <w:shd w:val="clear" w:color="auto" w:fill="auto"/>
            <w:vAlign w:val="bottom"/>
            <w:hideMark/>
          </w:tcPr>
          <w:p w14:paraId="0843BF03"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2A03964E" w14:textId="54A603AB"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66A9FB5C"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E00F34" w:rsidRPr="00756F3E" w14:paraId="3D970A3A" w14:textId="77777777" w:rsidTr="008A4C58">
        <w:trPr>
          <w:trHeight w:val="300"/>
        </w:trPr>
        <w:tc>
          <w:tcPr>
            <w:tcW w:w="4560" w:type="dxa"/>
            <w:gridSpan w:val="2"/>
            <w:tcBorders>
              <w:top w:val="nil"/>
              <w:left w:val="nil"/>
              <w:bottom w:val="nil"/>
              <w:right w:val="nil"/>
            </w:tcBorders>
            <w:shd w:val="clear" w:color="auto" w:fill="auto"/>
            <w:noWrap/>
            <w:vAlign w:val="center"/>
            <w:hideMark/>
          </w:tcPr>
          <w:p w14:paraId="4AE875E7" w14:textId="77777777" w:rsidR="00E00F34" w:rsidRPr="00756F3E" w:rsidRDefault="00E00F34" w:rsidP="00E00F34">
            <w:pPr>
              <w:pStyle w:val="TableText"/>
              <w:rPr>
                <w:lang w:eastAsia="en-GB"/>
              </w:rPr>
            </w:pPr>
            <w:r w:rsidRPr="00756F3E">
              <w:rPr>
                <w:lang w:eastAsia="en-GB"/>
              </w:rPr>
              <w:t>NHS Organisation</w:t>
            </w:r>
          </w:p>
        </w:tc>
        <w:tc>
          <w:tcPr>
            <w:tcW w:w="1280" w:type="dxa"/>
            <w:tcBorders>
              <w:top w:val="nil"/>
              <w:left w:val="nil"/>
              <w:bottom w:val="nil"/>
              <w:right w:val="nil"/>
            </w:tcBorders>
            <w:shd w:val="clear" w:color="auto" w:fill="auto"/>
            <w:noWrap/>
            <w:hideMark/>
          </w:tcPr>
          <w:p w14:paraId="52FFF9CE" w14:textId="45001028" w:rsidR="00E00F34" w:rsidRPr="00756F3E" w:rsidRDefault="00E00F34" w:rsidP="00E00F34">
            <w:pPr>
              <w:pStyle w:val="TableText"/>
              <w:ind w:right="227"/>
              <w:jc w:val="right"/>
              <w:rPr>
                <w:lang w:eastAsia="en-GB"/>
              </w:rPr>
            </w:pPr>
            <w:r w:rsidRPr="00DF243E">
              <w:t>538</w:t>
            </w:r>
          </w:p>
        </w:tc>
        <w:tc>
          <w:tcPr>
            <w:tcW w:w="1815" w:type="dxa"/>
            <w:tcBorders>
              <w:top w:val="nil"/>
              <w:left w:val="nil"/>
              <w:bottom w:val="nil"/>
              <w:right w:val="nil"/>
            </w:tcBorders>
            <w:shd w:val="clear" w:color="auto" w:fill="auto"/>
            <w:noWrap/>
            <w:hideMark/>
          </w:tcPr>
          <w:p w14:paraId="411F3A57" w14:textId="551BBA07" w:rsidR="00E00F34" w:rsidRPr="00756F3E" w:rsidRDefault="00E00F34" w:rsidP="00E00F34">
            <w:pPr>
              <w:pStyle w:val="TableText"/>
              <w:ind w:right="227"/>
              <w:jc w:val="right"/>
              <w:rPr>
                <w:lang w:eastAsia="en-GB"/>
              </w:rPr>
            </w:pPr>
            <w:r w:rsidRPr="00DF243E">
              <w:t>£54,262.</w:t>
            </w:r>
            <w:r w:rsidR="00B17D7D">
              <w:t>880</w:t>
            </w:r>
          </w:p>
        </w:tc>
        <w:tc>
          <w:tcPr>
            <w:tcW w:w="1500" w:type="dxa"/>
            <w:tcBorders>
              <w:top w:val="nil"/>
              <w:left w:val="nil"/>
              <w:bottom w:val="nil"/>
              <w:right w:val="nil"/>
            </w:tcBorders>
            <w:shd w:val="clear" w:color="auto" w:fill="auto"/>
            <w:noWrap/>
            <w:vAlign w:val="center"/>
            <w:hideMark/>
          </w:tcPr>
          <w:p w14:paraId="660DE1A9" w14:textId="77777777" w:rsidR="00E00F34" w:rsidRPr="00756F3E" w:rsidRDefault="00E00F34" w:rsidP="00E00F34">
            <w:pPr>
              <w:pStyle w:val="TableText"/>
              <w:jc w:val="center"/>
              <w:rPr>
                <w:lang w:eastAsia="en-GB"/>
              </w:rPr>
            </w:pPr>
            <w:r w:rsidRPr="00756F3E">
              <w:rPr>
                <w:lang w:eastAsia="en-GB"/>
              </w:rPr>
              <w:t>Not VCSE</w:t>
            </w:r>
          </w:p>
        </w:tc>
      </w:tr>
      <w:tr w:rsidR="00E00F34" w:rsidRPr="00756F3E" w14:paraId="69735778" w14:textId="77777777" w:rsidTr="008A4C58">
        <w:trPr>
          <w:trHeight w:val="300"/>
        </w:trPr>
        <w:tc>
          <w:tcPr>
            <w:tcW w:w="4560" w:type="dxa"/>
            <w:gridSpan w:val="2"/>
            <w:tcBorders>
              <w:top w:val="nil"/>
              <w:left w:val="nil"/>
              <w:bottom w:val="nil"/>
              <w:right w:val="nil"/>
            </w:tcBorders>
            <w:shd w:val="clear" w:color="auto" w:fill="auto"/>
            <w:noWrap/>
            <w:vAlign w:val="center"/>
            <w:hideMark/>
          </w:tcPr>
          <w:p w14:paraId="66703A3F" w14:textId="77777777" w:rsidR="00E00F34" w:rsidRPr="00756F3E" w:rsidRDefault="00E00F34" w:rsidP="00E00F34">
            <w:pPr>
              <w:pStyle w:val="TableText"/>
              <w:rPr>
                <w:lang w:eastAsia="en-GB"/>
              </w:rPr>
            </w:pPr>
            <w:r w:rsidRPr="00756F3E">
              <w:rPr>
                <w:lang w:eastAsia="en-GB"/>
              </w:rPr>
              <w:t>Local Authorities</w:t>
            </w:r>
          </w:p>
        </w:tc>
        <w:tc>
          <w:tcPr>
            <w:tcW w:w="1280" w:type="dxa"/>
            <w:tcBorders>
              <w:top w:val="nil"/>
              <w:left w:val="nil"/>
              <w:bottom w:val="nil"/>
              <w:right w:val="nil"/>
            </w:tcBorders>
            <w:shd w:val="clear" w:color="auto" w:fill="auto"/>
            <w:noWrap/>
            <w:hideMark/>
          </w:tcPr>
          <w:p w14:paraId="7A77614B" w14:textId="0AE70A6B" w:rsidR="00E00F34" w:rsidRPr="00756F3E" w:rsidRDefault="00E00F34" w:rsidP="00E00F34">
            <w:pPr>
              <w:pStyle w:val="TableText"/>
              <w:ind w:right="227"/>
              <w:jc w:val="right"/>
              <w:rPr>
                <w:lang w:eastAsia="en-GB"/>
              </w:rPr>
            </w:pPr>
            <w:r w:rsidRPr="00DF243E">
              <w:t>212</w:t>
            </w:r>
          </w:p>
        </w:tc>
        <w:tc>
          <w:tcPr>
            <w:tcW w:w="1815" w:type="dxa"/>
            <w:tcBorders>
              <w:top w:val="nil"/>
              <w:left w:val="nil"/>
              <w:bottom w:val="nil"/>
              <w:right w:val="nil"/>
            </w:tcBorders>
            <w:shd w:val="clear" w:color="auto" w:fill="auto"/>
            <w:noWrap/>
            <w:hideMark/>
          </w:tcPr>
          <w:p w14:paraId="50DC755A" w14:textId="7B99036B" w:rsidR="00E00F34" w:rsidRPr="00756F3E" w:rsidRDefault="00E00F34" w:rsidP="00E00F34">
            <w:pPr>
              <w:pStyle w:val="TableText"/>
              <w:ind w:right="227"/>
              <w:jc w:val="right"/>
              <w:rPr>
                <w:lang w:eastAsia="en-GB"/>
              </w:rPr>
            </w:pPr>
            <w:r w:rsidRPr="00DF243E">
              <w:t>£4,45</w:t>
            </w:r>
            <w:r w:rsidR="00B17D7D">
              <w:t>7.706</w:t>
            </w:r>
          </w:p>
        </w:tc>
        <w:tc>
          <w:tcPr>
            <w:tcW w:w="1500" w:type="dxa"/>
            <w:tcBorders>
              <w:top w:val="nil"/>
              <w:left w:val="nil"/>
              <w:bottom w:val="nil"/>
              <w:right w:val="nil"/>
            </w:tcBorders>
            <w:shd w:val="clear" w:color="auto" w:fill="auto"/>
            <w:noWrap/>
            <w:vAlign w:val="center"/>
            <w:hideMark/>
          </w:tcPr>
          <w:p w14:paraId="348EE852" w14:textId="77777777" w:rsidR="00E00F34" w:rsidRPr="00756F3E" w:rsidRDefault="00E00F34" w:rsidP="00E00F34">
            <w:pPr>
              <w:pStyle w:val="TableText"/>
              <w:jc w:val="center"/>
              <w:rPr>
                <w:lang w:eastAsia="en-GB"/>
              </w:rPr>
            </w:pPr>
            <w:r w:rsidRPr="00756F3E">
              <w:rPr>
                <w:lang w:eastAsia="en-GB"/>
              </w:rPr>
              <w:t>Not VCSE</w:t>
            </w:r>
          </w:p>
        </w:tc>
      </w:tr>
      <w:tr w:rsidR="00E00F34" w:rsidRPr="00756F3E" w14:paraId="353A8739" w14:textId="77777777" w:rsidTr="008A4C58">
        <w:trPr>
          <w:trHeight w:val="300"/>
        </w:trPr>
        <w:tc>
          <w:tcPr>
            <w:tcW w:w="4560" w:type="dxa"/>
            <w:gridSpan w:val="2"/>
            <w:tcBorders>
              <w:top w:val="nil"/>
              <w:left w:val="nil"/>
              <w:bottom w:val="nil"/>
              <w:right w:val="nil"/>
            </w:tcBorders>
            <w:shd w:val="clear" w:color="auto" w:fill="auto"/>
            <w:noWrap/>
            <w:vAlign w:val="center"/>
            <w:hideMark/>
          </w:tcPr>
          <w:p w14:paraId="08EF93F4" w14:textId="77777777" w:rsidR="00E00F34" w:rsidRPr="00756F3E" w:rsidRDefault="00E00F34" w:rsidP="00E00F34">
            <w:pPr>
              <w:pStyle w:val="TableText"/>
              <w:rPr>
                <w:lang w:eastAsia="en-GB"/>
              </w:rPr>
            </w:pPr>
            <w:r w:rsidRPr="00756F3E">
              <w:rPr>
                <w:lang w:eastAsia="en-GB"/>
              </w:rPr>
              <w:t>Government Bodies</w:t>
            </w:r>
          </w:p>
        </w:tc>
        <w:tc>
          <w:tcPr>
            <w:tcW w:w="1280" w:type="dxa"/>
            <w:tcBorders>
              <w:top w:val="nil"/>
              <w:left w:val="nil"/>
              <w:bottom w:val="nil"/>
              <w:right w:val="nil"/>
            </w:tcBorders>
            <w:shd w:val="clear" w:color="auto" w:fill="auto"/>
            <w:noWrap/>
            <w:hideMark/>
          </w:tcPr>
          <w:p w14:paraId="6A0BA6B1" w14:textId="66602C5A" w:rsidR="00E00F34" w:rsidRPr="00756F3E" w:rsidRDefault="00E00F34" w:rsidP="00E00F34">
            <w:pPr>
              <w:pStyle w:val="TableText"/>
              <w:ind w:right="227"/>
              <w:jc w:val="right"/>
              <w:rPr>
                <w:lang w:eastAsia="en-GB"/>
              </w:rPr>
            </w:pPr>
            <w:r w:rsidRPr="00DF243E">
              <w:t>8</w:t>
            </w:r>
          </w:p>
        </w:tc>
        <w:tc>
          <w:tcPr>
            <w:tcW w:w="1815" w:type="dxa"/>
            <w:tcBorders>
              <w:top w:val="nil"/>
              <w:left w:val="nil"/>
              <w:bottom w:val="nil"/>
              <w:right w:val="nil"/>
            </w:tcBorders>
            <w:shd w:val="clear" w:color="auto" w:fill="auto"/>
            <w:noWrap/>
            <w:hideMark/>
          </w:tcPr>
          <w:p w14:paraId="5C06D733" w14:textId="1374F7EF" w:rsidR="00E00F34" w:rsidRPr="00756F3E" w:rsidRDefault="00E00F34" w:rsidP="00E00F34">
            <w:pPr>
              <w:pStyle w:val="TableText"/>
              <w:ind w:right="227"/>
              <w:jc w:val="right"/>
              <w:rPr>
                <w:lang w:eastAsia="en-GB"/>
              </w:rPr>
            </w:pPr>
            <w:r w:rsidRPr="00DF243E">
              <w:t>£220.807</w:t>
            </w:r>
          </w:p>
        </w:tc>
        <w:tc>
          <w:tcPr>
            <w:tcW w:w="1500" w:type="dxa"/>
            <w:tcBorders>
              <w:top w:val="nil"/>
              <w:left w:val="nil"/>
              <w:bottom w:val="nil"/>
              <w:right w:val="nil"/>
            </w:tcBorders>
            <w:shd w:val="clear" w:color="auto" w:fill="auto"/>
            <w:noWrap/>
            <w:vAlign w:val="center"/>
            <w:hideMark/>
          </w:tcPr>
          <w:p w14:paraId="0D7AA5E2" w14:textId="77777777" w:rsidR="00E00F34" w:rsidRPr="00756F3E" w:rsidRDefault="00E00F34" w:rsidP="00E00F34">
            <w:pPr>
              <w:pStyle w:val="TableText"/>
              <w:jc w:val="center"/>
              <w:rPr>
                <w:lang w:eastAsia="en-GB"/>
              </w:rPr>
            </w:pPr>
            <w:r w:rsidRPr="00756F3E">
              <w:rPr>
                <w:lang w:eastAsia="en-GB"/>
              </w:rPr>
              <w:t>Not VCSE</w:t>
            </w:r>
          </w:p>
        </w:tc>
      </w:tr>
      <w:tr w:rsidR="00756F3E" w:rsidRPr="00756F3E" w14:paraId="79C7BC4B" w14:textId="77777777" w:rsidTr="00756F3E">
        <w:trPr>
          <w:trHeight w:val="113"/>
        </w:trPr>
        <w:tc>
          <w:tcPr>
            <w:tcW w:w="4560" w:type="dxa"/>
            <w:gridSpan w:val="2"/>
            <w:tcBorders>
              <w:top w:val="nil"/>
              <w:left w:val="nil"/>
              <w:bottom w:val="nil"/>
              <w:right w:val="nil"/>
            </w:tcBorders>
            <w:shd w:val="clear" w:color="auto" w:fill="auto"/>
            <w:noWrap/>
            <w:vAlign w:val="bottom"/>
            <w:hideMark/>
          </w:tcPr>
          <w:p w14:paraId="2162716C" w14:textId="77777777" w:rsidR="00756F3E" w:rsidRPr="00756F3E" w:rsidRDefault="00756F3E" w:rsidP="00756F3E">
            <w:pPr>
              <w:pStyle w:val="TableText"/>
              <w:rPr>
                <w:sz w:val="10"/>
                <w:szCs w:val="10"/>
                <w:lang w:eastAsia="en-GB"/>
              </w:rPr>
            </w:pPr>
          </w:p>
        </w:tc>
        <w:tc>
          <w:tcPr>
            <w:tcW w:w="1280" w:type="dxa"/>
            <w:tcBorders>
              <w:top w:val="nil"/>
              <w:left w:val="nil"/>
              <w:bottom w:val="nil"/>
              <w:right w:val="nil"/>
            </w:tcBorders>
            <w:shd w:val="clear" w:color="auto" w:fill="auto"/>
            <w:noWrap/>
            <w:vAlign w:val="bottom"/>
            <w:hideMark/>
          </w:tcPr>
          <w:p w14:paraId="58A5FC4C" w14:textId="77777777" w:rsidR="00756F3E" w:rsidRPr="00756F3E" w:rsidRDefault="00756F3E" w:rsidP="00756F3E">
            <w:pPr>
              <w:pStyle w:val="TableText"/>
              <w:rPr>
                <w:rFonts w:cs="Times New Roman"/>
                <w:sz w:val="10"/>
                <w:szCs w:val="10"/>
                <w:lang w:eastAsia="en-GB"/>
              </w:rPr>
            </w:pPr>
          </w:p>
        </w:tc>
        <w:tc>
          <w:tcPr>
            <w:tcW w:w="1815" w:type="dxa"/>
            <w:tcBorders>
              <w:top w:val="nil"/>
              <w:left w:val="nil"/>
              <w:bottom w:val="nil"/>
              <w:right w:val="nil"/>
            </w:tcBorders>
            <w:shd w:val="clear" w:color="auto" w:fill="auto"/>
            <w:noWrap/>
            <w:vAlign w:val="bottom"/>
            <w:hideMark/>
          </w:tcPr>
          <w:p w14:paraId="72CCD50F" w14:textId="77777777" w:rsidR="00756F3E" w:rsidRPr="00756F3E" w:rsidRDefault="00756F3E" w:rsidP="00756F3E">
            <w:pPr>
              <w:pStyle w:val="TableText"/>
              <w:rPr>
                <w:rFonts w:cs="Times New Roman"/>
                <w:sz w:val="10"/>
                <w:szCs w:val="10"/>
                <w:lang w:eastAsia="en-GB"/>
              </w:rPr>
            </w:pPr>
          </w:p>
        </w:tc>
        <w:tc>
          <w:tcPr>
            <w:tcW w:w="1500" w:type="dxa"/>
            <w:tcBorders>
              <w:top w:val="nil"/>
              <w:left w:val="nil"/>
              <w:bottom w:val="nil"/>
              <w:right w:val="nil"/>
            </w:tcBorders>
            <w:shd w:val="clear" w:color="auto" w:fill="auto"/>
            <w:noWrap/>
            <w:vAlign w:val="bottom"/>
            <w:hideMark/>
          </w:tcPr>
          <w:p w14:paraId="37169E68" w14:textId="77777777" w:rsidR="00756F3E" w:rsidRPr="00756F3E" w:rsidRDefault="00756F3E" w:rsidP="00756F3E">
            <w:pPr>
              <w:pStyle w:val="TableText"/>
              <w:rPr>
                <w:rFonts w:cs="Times New Roman"/>
                <w:sz w:val="10"/>
                <w:szCs w:val="10"/>
                <w:lang w:eastAsia="en-GB"/>
              </w:rPr>
            </w:pPr>
          </w:p>
        </w:tc>
      </w:tr>
      <w:tr w:rsidR="00756F3E" w:rsidRPr="00756F3E" w14:paraId="449190B8"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7E8F7224" w14:textId="1101E707" w:rsidR="00756F3E" w:rsidRPr="00756F3E" w:rsidRDefault="00756F3E" w:rsidP="00756F3E">
            <w:pPr>
              <w:pStyle w:val="TableText"/>
              <w:rPr>
                <w:b/>
                <w:bCs/>
                <w:i/>
                <w:iCs/>
                <w:lang w:eastAsia="en-GB"/>
              </w:rPr>
            </w:pPr>
            <w:r w:rsidRPr="00756F3E">
              <w:rPr>
                <w:b/>
                <w:bCs/>
                <w:i/>
                <w:iCs/>
                <w:lang w:eastAsia="en-GB"/>
              </w:rPr>
              <w:t>Other suppliers not in CC or CH Registers</w:t>
            </w:r>
          </w:p>
        </w:tc>
        <w:tc>
          <w:tcPr>
            <w:tcW w:w="1280" w:type="dxa"/>
            <w:tcBorders>
              <w:top w:val="nil"/>
              <w:left w:val="nil"/>
              <w:bottom w:val="single" w:sz="8" w:space="0" w:color="auto"/>
              <w:right w:val="nil"/>
            </w:tcBorders>
            <w:shd w:val="clear" w:color="auto" w:fill="auto"/>
            <w:vAlign w:val="bottom"/>
            <w:hideMark/>
          </w:tcPr>
          <w:p w14:paraId="601ADAAB"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0143BB40" w14:textId="7FE7965A"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1E7333A9"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E00F34" w:rsidRPr="00756F3E" w14:paraId="3FD6F9F0" w14:textId="77777777" w:rsidTr="007B5140">
        <w:trPr>
          <w:trHeight w:val="300"/>
        </w:trPr>
        <w:tc>
          <w:tcPr>
            <w:tcW w:w="4560" w:type="dxa"/>
            <w:gridSpan w:val="2"/>
            <w:tcBorders>
              <w:top w:val="nil"/>
              <w:left w:val="nil"/>
              <w:right w:val="nil"/>
            </w:tcBorders>
            <w:shd w:val="clear" w:color="auto" w:fill="auto"/>
            <w:noWrap/>
            <w:vAlign w:val="center"/>
            <w:hideMark/>
          </w:tcPr>
          <w:p w14:paraId="1F69BC46" w14:textId="77777777" w:rsidR="00E00F34" w:rsidRPr="00756F3E" w:rsidRDefault="00E00F34" w:rsidP="00E00F34">
            <w:pPr>
              <w:pStyle w:val="TableText"/>
              <w:rPr>
                <w:lang w:eastAsia="en-GB"/>
              </w:rPr>
            </w:pPr>
            <w:r w:rsidRPr="00756F3E">
              <w:rPr>
                <w:lang w:eastAsia="en-GB"/>
              </w:rPr>
              <w:t>Other Suppliers</w:t>
            </w:r>
          </w:p>
        </w:tc>
        <w:tc>
          <w:tcPr>
            <w:tcW w:w="1280" w:type="dxa"/>
            <w:tcBorders>
              <w:top w:val="nil"/>
              <w:left w:val="nil"/>
              <w:right w:val="nil"/>
            </w:tcBorders>
            <w:shd w:val="clear" w:color="auto" w:fill="auto"/>
            <w:noWrap/>
            <w:hideMark/>
          </w:tcPr>
          <w:p w14:paraId="366887EC" w14:textId="5F5596CE" w:rsidR="00E00F34" w:rsidRPr="00756F3E" w:rsidRDefault="00E00F34" w:rsidP="00E00F34">
            <w:pPr>
              <w:pStyle w:val="TableText"/>
              <w:ind w:right="227"/>
              <w:jc w:val="right"/>
              <w:rPr>
                <w:lang w:eastAsia="en-GB"/>
              </w:rPr>
            </w:pPr>
            <w:r w:rsidRPr="0012211C">
              <w:t>4</w:t>
            </w:r>
          </w:p>
        </w:tc>
        <w:tc>
          <w:tcPr>
            <w:tcW w:w="1815" w:type="dxa"/>
            <w:tcBorders>
              <w:top w:val="nil"/>
              <w:left w:val="nil"/>
              <w:right w:val="nil"/>
            </w:tcBorders>
            <w:shd w:val="clear" w:color="auto" w:fill="auto"/>
            <w:noWrap/>
            <w:hideMark/>
          </w:tcPr>
          <w:p w14:paraId="63332EF1" w14:textId="7011E56D" w:rsidR="00E00F34" w:rsidRPr="00756F3E" w:rsidRDefault="00E00F34" w:rsidP="00E00F34">
            <w:pPr>
              <w:pStyle w:val="TableText"/>
              <w:ind w:right="227"/>
              <w:jc w:val="right"/>
              <w:rPr>
                <w:lang w:eastAsia="en-GB"/>
              </w:rPr>
            </w:pPr>
            <w:r w:rsidRPr="0012211C">
              <w:t>£3.118</w:t>
            </w:r>
          </w:p>
        </w:tc>
        <w:tc>
          <w:tcPr>
            <w:tcW w:w="1500" w:type="dxa"/>
            <w:tcBorders>
              <w:top w:val="nil"/>
              <w:left w:val="nil"/>
              <w:right w:val="nil"/>
            </w:tcBorders>
            <w:shd w:val="clear" w:color="auto" w:fill="auto"/>
            <w:noWrap/>
            <w:vAlign w:val="center"/>
            <w:hideMark/>
          </w:tcPr>
          <w:p w14:paraId="3D9CB4F5"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5125069C" w14:textId="77777777" w:rsidTr="007B5140">
        <w:trPr>
          <w:trHeight w:val="300"/>
        </w:trPr>
        <w:tc>
          <w:tcPr>
            <w:tcW w:w="4560" w:type="dxa"/>
            <w:gridSpan w:val="2"/>
            <w:tcBorders>
              <w:top w:val="nil"/>
              <w:left w:val="nil"/>
              <w:bottom w:val="single" w:sz="4" w:space="0" w:color="auto"/>
              <w:right w:val="nil"/>
            </w:tcBorders>
            <w:shd w:val="clear" w:color="auto" w:fill="auto"/>
            <w:noWrap/>
            <w:vAlign w:val="center"/>
            <w:hideMark/>
          </w:tcPr>
          <w:p w14:paraId="353F4B59" w14:textId="77777777" w:rsidR="00E00F34" w:rsidRPr="00756F3E" w:rsidRDefault="00E00F34" w:rsidP="00E00F34">
            <w:pPr>
              <w:pStyle w:val="TableText"/>
              <w:rPr>
                <w:lang w:eastAsia="en-GB"/>
              </w:rPr>
            </w:pPr>
            <w:r w:rsidRPr="00756F3E">
              <w:rPr>
                <w:lang w:eastAsia="en-GB"/>
              </w:rPr>
              <w:t>Other Suppliers</w:t>
            </w:r>
          </w:p>
        </w:tc>
        <w:tc>
          <w:tcPr>
            <w:tcW w:w="1280" w:type="dxa"/>
            <w:tcBorders>
              <w:top w:val="nil"/>
              <w:left w:val="nil"/>
              <w:bottom w:val="single" w:sz="4" w:space="0" w:color="auto"/>
              <w:right w:val="nil"/>
            </w:tcBorders>
            <w:shd w:val="clear" w:color="auto" w:fill="auto"/>
            <w:noWrap/>
            <w:hideMark/>
          </w:tcPr>
          <w:p w14:paraId="583A6308" w14:textId="512C213D" w:rsidR="00E00F34" w:rsidRPr="00756F3E" w:rsidRDefault="00E00F34" w:rsidP="00E00F34">
            <w:pPr>
              <w:pStyle w:val="TableText"/>
              <w:ind w:right="227"/>
              <w:jc w:val="right"/>
              <w:rPr>
                <w:lang w:eastAsia="en-GB"/>
              </w:rPr>
            </w:pPr>
            <w:r w:rsidRPr="0012211C">
              <w:t>6</w:t>
            </w:r>
            <w:r>
              <w:t>,</w:t>
            </w:r>
            <w:r w:rsidR="0012796C">
              <w:t>404</w:t>
            </w:r>
          </w:p>
        </w:tc>
        <w:tc>
          <w:tcPr>
            <w:tcW w:w="1815" w:type="dxa"/>
            <w:tcBorders>
              <w:top w:val="nil"/>
              <w:left w:val="nil"/>
              <w:bottom w:val="single" w:sz="4" w:space="0" w:color="auto"/>
              <w:right w:val="nil"/>
            </w:tcBorders>
            <w:shd w:val="clear" w:color="auto" w:fill="auto"/>
            <w:noWrap/>
            <w:hideMark/>
          </w:tcPr>
          <w:p w14:paraId="52F6119B" w14:textId="34D63E1C" w:rsidR="00E00F34" w:rsidRPr="00756F3E" w:rsidRDefault="00E00F34" w:rsidP="00E00F34">
            <w:pPr>
              <w:pStyle w:val="TableText"/>
              <w:ind w:right="227"/>
              <w:jc w:val="right"/>
              <w:rPr>
                <w:lang w:eastAsia="en-GB"/>
              </w:rPr>
            </w:pPr>
            <w:r w:rsidRPr="0012211C">
              <w:t>£5,</w:t>
            </w:r>
            <w:r w:rsidR="00B17D7D">
              <w:t>804.865</w:t>
            </w:r>
          </w:p>
        </w:tc>
        <w:tc>
          <w:tcPr>
            <w:tcW w:w="1500" w:type="dxa"/>
            <w:tcBorders>
              <w:top w:val="nil"/>
              <w:left w:val="nil"/>
              <w:bottom w:val="single" w:sz="4" w:space="0" w:color="auto"/>
              <w:right w:val="nil"/>
            </w:tcBorders>
            <w:shd w:val="clear" w:color="auto" w:fill="auto"/>
            <w:noWrap/>
            <w:vAlign w:val="center"/>
            <w:hideMark/>
          </w:tcPr>
          <w:p w14:paraId="450E5022" w14:textId="77777777" w:rsidR="00E00F34" w:rsidRPr="00756F3E" w:rsidRDefault="00E00F34" w:rsidP="00E00F34">
            <w:pPr>
              <w:pStyle w:val="TableText"/>
              <w:jc w:val="center"/>
              <w:rPr>
                <w:lang w:eastAsia="en-GB"/>
              </w:rPr>
            </w:pPr>
            <w:r w:rsidRPr="00756F3E">
              <w:rPr>
                <w:lang w:eastAsia="en-GB"/>
              </w:rPr>
              <w:t>Not VCSE</w:t>
            </w:r>
          </w:p>
        </w:tc>
      </w:tr>
      <w:tr w:rsidR="00A0032D" w:rsidRPr="00756F3E" w14:paraId="481A63D9" w14:textId="77777777" w:rsidTr="00A0032D">
        <w:trPr>
          <w:trHeight w:val="113"/>
        </w:trPr>
        <w:tc>
          <w:tcPr>
            <w:tcW w:w="2280" w:type="dxa"/>
            <w:tcBorders>
              <w:left w:val="nil"/>
              <w:bottom w:val="nil"/>
              <w:right w:val="nil"/>
            </w:tcBorders>
            <w:shd w:val="clear" w:color="auto" w:fill="auto"/>
            <w:noWrap/>
            <w:vAlign w:val="bottom"/>
            <w:hideMark/>
          </w:tcPr>
          <w:p w14:paraId="618B698C" w14:textId="77777777" w:rsidR="00A0032D" w:rsidRPr="00756F3E" w:rsidRDefault="00A0032D" w:rsidP="00756F3E">
            <w:pPr>
              <w:pStyle w:val="TableText"/>
              <w:rPr>
                <w:sz w:val="10"/>
                <w:szCs w:val="10"/>
                <w:lang w:eastAsia="en-GB"/>
              </w:rPr>
            </w:pPr>
          </w:p>
        </w:tc>
        <w:tc>
          <w:tcPr>
            <w:tcW w:w="2280" w:type="dxa"/>
            <w:tcBorders>
              <w:top w:val="single" w:sz="4" w:space="0" w:color="auto"/>
              <w:left w:val="nil"/>
              <w:bottom w:val="single" w:sz="4" w:space="0" w:color="auto"/>
              <w:right w:val="nil"/>
            </w:tcBorders>
            <w:shd w:val="clear" w:color="auto" w:fill="auto"/>
            <w:vAlign w:val="bottom"/>
          </w:tcPr>
          <w:p w14:paraId="147B7BD8" w14:textId="5ED9B897" w:rsidR="00A0032D" w:rsidRPr="00756F3E" w:rsidRDefault="00A0032D" w:rsidP="00756F3E">
            <w:pPr>
              <w:pStyle w:val="TableText"/>
              <w:rPr>
                <w:sz w:val="10"/>
                <w:szCs w:val="10"/>
                <w:lang w:eastAsia="en-GB"/>
              </w:rPr>
            </w:pPr>
          </w:p>
        </w:tc>
        <w:tc>
          <w:tcPr>
            <w:tcW w:w="1280" w:type="dxa"/>
            <w:tcBorders>
              <w:top w:val="single" w:sz="4" w:space="0" w:color="auto"/>
              <w:left w:val="nil"/>
              <w:bottom w:val="single" w:sz="4" w:space="0" w:color="auto"/>
              <w:right w:val="nil"/>
            </w:tcBorders>
            <w:shd w:val="clear" w:color="auto" w:fill="auto"/>
            <w:noWrap/>
            <w:vAlign w:val="center"/>
            <w:hideMark/>
          </w:tcPr>
          <w:p w14:paraId="604AD9E5" w14:textId="77777777" w:rsidR="00A0032D" w:rsidRPr="00756F3E" w:rsidRDefault="00A0032D" w:rsidP="00756F3E">
            <w:pPr>
              <w:pStyle w:val="TableText"/>
              <w:ind w:right="227"/>
              <w:jc w:val="right"/>
              <w:rPr>
                <w:rFonts w:cs="Times New Roman"/>
                <w:sz w:val="10"/>
                <w:szCs w:val="10"/>
                <w:lang w:eastAsia="en-GB"/>
              </w:rPr>
            </w:pPr>
          </w:p>
        </w:tc>
        <w:tc>
          <w:tcPr>
            <w:tcW w:w="1815" w:type="dxa"/>
            <w:tcBorders>
              <w:top w:val="single" w:sz="4" w:space="0" w:color="auto"/>
              <w:left w:val="nil"/>
              <w:bottom w:val="single" w:sz="4" w:space="0" w:color="auto"/>
              <w:right w:val="nil"/>
            </w:tcBorders>
            <w:shd w:val="clear" w:color="auto" w:fill="auto"/>
            <w:noWrap/>
            <w:vAlign w:val="center"/>
            <w:hideMark/>
          </w:tcPr>
          <w:p w14:paraId="32960A86" w14:textId="77777777" w:rsidR="00A0032D" w:rsidRPr="00756F3E" w:rsidRDefault="00A0032D" w:rsidP="00756F3E">
            <w:pPr>
              <w:pStyle w:val="TableText"/>
              <w:ind w:right="227"/>
              <w:jc w:val="right"/>
              <w:rPr>
                <w:rFonts w:cs="Times New Roman"/>
                <w:sz w:val="10"/>
                <w:szCs w:val="10"/>
                <w:lang w:eastAsia="en-GB"/>
              </w:rPr>
            </w:pPr>
          </w:p>
        </w:tc>
        <w:tc>
          <w:tcPr>
            <w:tcW w:w="1500" w:type="dxa"/>
            <w:tcBorders>
              <w:top w:val="single" w:sz="4" w:space="0" w:color="auto"/>
              <w:left w:val="nil"/>
              <w:right w:val="nil"/>
            </w:tcBorders>
            <w:shd w:val="clear" w:color="auto" w:fill="auto"/>
            <w:noWrap/>
            <w:vAlign w:val="bottom"/>
            <w:hideMark/>
          </w:tcPr>
          <w:p w14:paraId="411E7279" w14:textId="77777777" w:rsidR="00A0032D" w:rsidRPr="00756F3E" w:rsidRDefault="00A0032D" w:rsidP="00756F3E">
            <w:pPr>
              <w:pStyle w:val="TableText"/>
              <w:rPr>
                <w:rFonts w:cs="Times New Roman"/>
                <w:sz w:val="10"/>
                <w:szCs w:val="10"/>
                <w:lang w:eastAsia="en-GB"/>
              </w:rPr>
            </w:pPr>
          </w:p>
        </w:tc>
      </w:tr>
      <w:tr w:rsidR="00E00F34" w:rsidRPr="00756F3E" w14:paraId="22D33760" w14:textId="77777777" w:rsidTr="00E446DC">
        <w:trPr>
          <w:trHeight w:val="300"/>
        </w:trPr>
        <w:tc>
          <w:tcPr>
            <w:tcW w:w="2280" w:type="dxa"/>
            <w:tcBorders>
              <w:left w:val="nil"/>
              <w:bottom w:val="nil"/>
              <w:right w:val="nil"/>
            </w:tcBorders>
            <w:shd w:val="clear" w:color="auto" w:fill="auto"/>
            <w:noWrap/>
            <w:vAlign w:val="bottom"/>
            <w:hideMark/>
          </w:tcPr>
          <w:p w14:paraId="2B21C75E" w14:textId="2C24E4DC" w:rsidR="00E00F34" w:rsidRPr="00756F3E" w:rsidRDefault="00E00F34" w:rsidP="00E00F34">
            <w:pPr>
              <w:pStyle w:val="TableText"/>
              <w:ind w:left="2163"/>
              <w:rPr>
                <w:b/>
                <w:bCs/>
                <w:i/>
                <w:iCs/>
                <w:lang w:eastAsia="en-GB"/>
              </w:rPr>
            </w:pPr>
          </w:p>
        </w:tc>
        <w:tc>
          <w:tcPr>
            <w:tcW w:w="2280" w:type="dxa"/>
            <w:tcBorders>
              <w:top w:val="single" w:sz="4" w:space="0" w:color="auto"/>
              <w:left w:val="nil"/>
              <w:bottom w:val="single" w:sz="4" w:space="0" w:color="auto"/>
              <w:right w:val="nil"/>
            </w:tcBorders>
            <w:shd w:val="clear" w:color="auto" w:fill="auto"/>
            <w:vAlign w:val="center"/>
          </w:tcPr>
          <w:p w14:paraId="37755825" w14:textId="6784A115" w:rsidR="00E00F34" w:rsidRPr="00756F3E" w:rsidRDefault="00E00F34" w:rsidP="00E00F34">
            <w:pPr>
              <w:pStyle w:val="TableText"/>
              <w:ind w:left="7"/>
              <w:rPr>
                <w:b/>
                <w:bCs/>
                <w:i/>
                <w:iCs/>
                <w:lang w:eastAsia="en-GB"/>
              </w:rPr>
            </w:pPr>
            <w:r>
              <w:rPr>
                <w:b/>
                <w:bCs/>
                <w:i/>
                <w:iCs/>
                <w:lang w:eastAsia="en-GB"/>
              </w:rPr>
              <w:t>VCSE Suppliers</w:t>
            </w:r>
          </w:p>
        </w:tc>
        <w:tc>
          <w:tcPr>
            <w:tcW w:w="1280" w:type="dxa"/>
            <w:tcBorders>
              <w:top w:val="single" w:sz="4" w:space="0" w:color="auto"/>
              <w:left w:val="nil"/>
              <w:bottom w:val="single" w:sz="4" w:space="0" w:color="auto"/>
              <w:right w:val="nil"/>
            </w:tcBorders>
            <w:shd w:val="clear" w:color="auto" w:fill="auto"/>
            <w:noWrap/>
            <w:hideMark/>
          </w:tcPr>
          <w:p w14:paraId="2BC354E4" w14:textId="1F82CBE9" w:rsidR="00E00F34" w:rsidRPr="00756F3E" w:rsidRDefault="00E00F34" w:rsidP="00E00F34">
            <w:pPr>
              <w:pStyle w:val="TableText"/>
              <w:ind w:right="227"/>
              <w:jc w:val="right"/>
              <w:rPr>
                <w:lang w:eastAsia="en-GB"/>
              </w:rPr>
            </w:pPr>
            <w:r w:rsidRPr="001E7E7B">
              <w:t>1</w:t>
            </w:r>
            <w:r>
              <w:t>,</w:t>
            </w:r>
            <w:r w:rsidRPr="001E7E7B">
              <w:t>0</w:t>
            </w:r>
            <w:r w:rsidR="0012796C">
              <w:t>51</w:t>
            </w:r>
          </w:p>
        </w:tc>
        <w:tc>
          <w:tcPr>
            <w:tcW w:w="1815" w:type="dxa"/>
            <w:tcBorders>
              <w:top w:val="single" w:sz="4" w:space="0" w:color="auto"/>
              <w:left w:val="nil"/>
              <w:bottom w:val="single" w:sz="4" w:space="0" w:color="auto"/>
              <w:right w:val="nil"/>
            </w:tcBorders>
            <w:shd w:val="clear" w:color="auto" w:fill="auto"/>
            <w:noWrap/>
            <w:hideMark/>
          </w:tcPr>
          <w:p w14:paraId="7F9C734F" w14:textId="220F46E7" w:rsidR="00E00F34" w:rsidRPr="00756F3E" w:rsidRDefault="00E00F34" w:rsidP="00E00F34">
            <w:pPr>
              <w:pStyle w:val="TableText"/>
              <w:ind w:right="227"/>
              <w:jc w:val="right"/>
              <w:rPr>
                <w:lang w:eastAsia="en-GB"/>
              </w:rPr>
            </w:pPr>
            <w:r w:rsidRPr="001E7E7B">
              <w:t>£1,9</w:t>
            </w:r>
            <w:r w:rsidR="00B17D7D">
              <w:t>12.409</w:t>
            </w:r>
          </w:p>
        </w:tc>
        <w:tc>
          <w:tcPr>
            <w:tcW w:w="1500" w:type="dxa"/>
            <w:tcBorders>
              <w:left w:val="nil"/>
              <w:right w:val="nil"/>
            </w:tcBorders>
            <w:shd w:val="clear" w:color="auto" w:fill="auto"/>
            <w:noWrap/>
            <w:vAlign w:val="bottom"/>
            <w:hideMark/>
          </w:tcPr>
          <w:p w14:paraId="30009EA7" w14:textId="77777777" w:rsidR="00E00F34" w:rsidRPr="00756F3E" w:rsidRDefault="00E00F34" w:rsidP="00E00F34">
            <w:pPr>
              <w:pStyle w:val="TableText"/>
              <w:rPr>
                <w:lang w:eastAsia="en-GB"/>
              </w:rPr>
            </w:pPr>
          </w:p>
        </w:tc>
      </w:tr>
      <w:tr w:rsidR="00E00F34" w:rsidRPr="00756F3E" w14:paraId="1066E842" w14:textId="77777777" w:rsidTr="00E446DC">
        <w:trPr>
          <w:trHeight w:val="300"/>
        </w:trPr>
        <w:tc>
          <w:tcPr>
            <w:tcW w:w="2280" w:type="dxa"/>
            <w:tcBorders>
              <w:left w:val="nil"/>
              <w:bottom w:val="nil"/>
              <w:right w:val="nil"/>
            </w:tcBorders>
            <w:shd w:val="clear" w:color="auto" w:fill="auto"/>
            <w:noWrap/>
            <w:vAlign w:val="bottom"/>
          </w:tcPr>
          <w:p w14:paraId="4DA309DE" w14:textId="77777777" w:rsidR="00E00F34" w:rsidRPr="00756F3E" w:rsidRDefault="00E00F34" w:rsidP="00E00F34">
            <w:pPr>
              <w:pStyle w:val="TableText"/>
              <w:ind w:left="2163"/>
              <w:rPr>
                <w:b/>
                <w:bCs/>
                <w:i/>
                <w:iCs/>
                <w:lang w:eastAsia="en-GB"/>
              </w:rPr>
            </w:pPr>
          </w:p>
        </w:tc>
        <w:tc>
          <w:tcPr>
            <w:tcW w:w="2280" w:type="dxa"/>
            <w:tcBorders>
              <w:top w:val="single" w:sz="4" w:space="0" w:color="auto"/>
              <w:left w:val="nil"/>
              <w:bottom w:val="single" w:sz="4" w:space="0" w:color="auto"/>
              <w:right w:val="nil"/>
            </w:tcBorders>
            <w:shd w:val="clear" w:color="auto" w:fill="auto"/>
            <w:vAlign w:val="center"/>
          </w:tcPr>
          <w:p w14:paraId="1C001506" w14:textId="295EA6AB" w:rsidR="00E00F34" w:rsidRPr="00756F3E" w:rsidRDefault="00E00F34" w:rsidP="00E00F34">
            <w:pPr>
              <w:pStyle w:val="TableText"/>
              <w:ind w:left="7"/>
              <w:rPr>
                <w:b/>
                <w:bCs/>
                <w:i/>
                <w:iCs/>
                <w:lang w:eastAsia="en-GB"/>
              </w:rPr>
            </w:pPr>
            <w:r w:rsidRPr="00756F3E">
              <w:rPr>
                <w:b/>
                <w:bCs/>
                <w:i/>
                <w:iCs/>
                <w:lang w:eastAsia="en-GB"/>
              </w:rPr>
              <w:t>Not VCSE</w:t>
            </w:r>
            <w:r>
              <w:rPr>
                <w:b/>
                <w:bCs/>
                <w:i/>
                <w:iCs/>
                <w:lang w:eastAsia="en-GB"/>
              </w:rPr>
              <w:t xml:space="preserve"> Suppliers</w:t>
            </w:r>
          </w:p>
        </w:tc>
        <w:tc>
          <w:tcPr>
            <w:tcW w:w="1280" w:type="dxa"/>
            <w:tcBorders>
              <w:top w:val="single" w:sz="4" w:space="0" w:color="auto"/>
              <w:left w:val="nil"/>
              <w:bottom w:val="single" w:sz="4" w:space="0" w:color="auto"/>
              <w:right w:val="nil"/>
            </w:tcBorders>
            <w:shd w:val="clear" w:color="auto" w:fill="auto"/>
            <w:noWrap/>
            <w:hideMark/>
          </w:tcPr>
          <w:p w14:paraId="4A335508" w14:textId="0B0ED845" w:rsidR="00E00F34" w:rsidRPr="00756F3E" w:rsidRDefault="00E00F34" w:rsidP="00E00F34">
            <w:pPr>
              <w:pStyle w:val="TableText"/>
              <w:ind w:right="227"/>
              <w:jc w:val="right"/>
              <w:rPr>
                <w:lang w:eastAsia="en-GB"/>
              </w:rPr>
            </w:pPr>
            <w:r w:rsidRPr="001E7E7B">
              <w:t>9</w:t>
            </w:r>
            <w:r>
              <w:t>,</w:t>
            </w:r>
            <w:r w:rsidR="0012796C">
              <w:t>511</w:t>
            </w:r>
          </w:p>
        </w:tc>
        <w:tc>
          <w:tcPr>
            <w:tcW w:w="1815" w:type="dxa"/>
            <w:tcBorders>
              <w:top w:val="single" w:sz="4" w:space="0" w:color="auto"/>
              <w:left w:val="nil"/>
              <w:bottom w:val="single" w:sz="4" w:space="0" w:color="auto"/>
              <w:right w:val="nil"/>
            </w:tcBorders>
            <w:shd w:val="clear" w:color="auto" w:fill="auto"/>
            <w:noWrap/>
            <w:hideMark/>
          </w:tcPr>
          <w:p w14:paraId="2E51E32F" w14:textId="6DCA6004" w:rsidR="00E00F34" w:rsidRPr="00756F3E" w:rsidRDefault="00E00F34" w:rsidP="00E00F34">
            <w:pPr>
              <w:pStyle w:val="TableText"/>
              <w:ind w:right="227"/>
              <w:jc w:val="right"/>
              <w:rPr>
                <w:lang w:eastAsia="en-GB"/>
              </w:rPr>
            </w:pPr>
            <w:r w:rsidRPr="001E7E7B">
              <w:t>£68,5</w:t>
            </w:r>
            <w:r w:rsidR="00B17D7D">
              <w:t>83.872</w:t>
            </w:r>
          </w:p>
        </w:tc>
        <w:tc>
          <w:tcPr>
            <w:tcW w:w="1500" w:type="dxa"/>
            <w:tcBorders>
              <w:left w:val="nil"/>
              <w:right w:val="nil"/>
            </w:tcBorders>
            <w:shd w:val="clear" w:color="auto" w:fill="auto"/>
            <w:noWrap/>
            <w:vAlign w:val="bottom"/>
            <w:hideMark/>
          </w:tcPr>
          <w:p w14:paraId="16853C4C" w14:textId="77777777" w:rsidR="00E00F34" w:rsidRPr="00756F3E" w:rsidRDefault="00E00F34" w:rsidP="00E00F34">
            <w:pPr>
              <w:pStyle w:val="TableText"/>
              <w:rPr>
                <w:lang w:eastAsia="en-GB"/>
              </w:rPr>
            </w:pPr>
          </w:p>
        </w:tc>
      </w:tr>
      <w:tr w:rsidR="00E00F34" w:rsidRPr="00756F3E" w14:paraId="0DE460EB" w14:textId="77777777" w:rsidTr="00E446DC">
        <w:trPr>
          <w:trHeight w:val="113"/>
        </w:trPr>
        <w:tc>
          <w:tcPr>
            <w:tcW w:w="2280" w:type="dxa"/>
            <w:tcBorders>
              <w:top w:val="nil"/>
              <w:left w:val="nil"/>
              <w:bottom w:val="nil"/>
              <w:right w:val="nil"/>
            </w:tcBorders>
            <w:shd w:val="clear" w:color="auto" w:fill="auto"/>
            <w:noWrap/>
            <w:vAlign w:val="bottom"/>
            <w:hideMark/>
          </w:tcPr>
          <w:p w14:paraId="57D1AABD" w14:textId="77777777" w:rsidR="00E00F34" w:rsidRPr="00756F3E" w:rsidRDefault="00E00F34" w:rsidP="00E00F34">
            <w:pPr>
              <w:pStyle w:val="TableText"/>
              <w:ind w:left="2163"/>
              <w:rPr>
                <w:rFonts w:cs="Times New Roman"/>
                <w:b/>
                <w:bCs/>
                <w:i/>
                <w:iCs/>
                <w:sz w:val="10"/>
                <w:szCs w:val="10"/>
                <w:lang w:eastAsia="en-GB"/>
              </w:rPr>
            </w:pPr>
          </w:p>
        </w:tc>
        <w:tc>
          <w:tcPr>
            <w:tcW w:w="2280" w:type="dxa"/>
            <w:tcBorders>
              <w:top w:val="single" w:sz="4" w:space="0" w:color="auto"/>
              <w:left w:val="nil"/>
              <w:bottom w:val="single" w:sz="4" w:space="0" w:color="auto"/>
              <w:right w:val="nil"/>
            </w:tcBorders>
            <w:shd w:val="clear" w:color="auto" w:fill="auto"/>
            <w:vAlign w:val="bottom"/>
          </w:tcPr>
          <w:p w14:paraId="56E8EBBD" w14:textId="24E3F243" w:rsidR="00E00F34" w:rsidRPr="00756F3E" w:rsidRDefault="00E00F34" w:rsidP="00E00F34">
            <w:pPr>
              <w:pStyle w:val="TableText"/>
              <w:ind w:left="2163"/>
              <w:rPr>
                <w:rFonts w:cs="Times New Roman"/>
                <w:b/>
                <w:bCs/>
                <w:i/>
                <w:iCs/>
                <w:sz w:val="10"/>
                <w:szCs w:val="10"/>
                <w:lang w:eastAsia="en-GB"/>
              </w:rPr>
            </w:pPr>
          </w:p>
        </w:tc>
        <w:tc>
          <w:tcPr>
            <w:tcW w:w="1280" w:type="dxa"/>
            <w:tcBorders>
              <w:top w:val="single" w:sz="4" w:space="0" w:color="auto"/>
              <w:left w:val="nil"/>
              <w:bottom w:val="single" w:sz="4" w:space="0" w:color="auto"/>
              <w:right w:val="nil"/>
            </w:tcBorders>
            <w:shd w:val="clear" w:color="auto" w:fill="auto"/>
            <w:noWrap/>
            <w:hideMark/>
          </w:tcPr>
          <w:p w14:paraId="40A8A19A" w14:textId="77777777" w:rsidR="00E00F34" w:rsidRPr="00756F3E" w:rsidRDefault="00E00F34" w:rsidP="00E00F34">
            <w:pPr>
              <w:pStyle w:val="TableText"/>
              <w:ind w:right="227"/>
              <w:jc w:val="right"/>
              <w:rPr>
                <w:rFonts w:cs="Times New Roman"/>
                <w:sz w:val="10"/>
                <w:szCs w:val="10"/>
                <w:lang w:eastAsia="en-GB"/>
              </w:rPr>
            </w:pPr>
          </w:p>
        </w:tc>
        <w:tc>
          <w:tcPr>
            <w:tcW w:w="1815" w:type="dxa"/>
            <w:tcBorders>
              <w:top w:val="single" w:sz="4" w:space="0" w:color="auto"/>
              <w:left w:val="nil"/>
              <w:bottom w:val="single" w:sz="4" w:space="0" w:color="auto"/>
              <w:right w:val="nil"/>
            </w:tcBorders>
            <w:shd w:val="clear" w:color="auto" w:fill="auto"/>
            <w:noWrap/>
            <w:hideMark/>
          </w:tcPr>
          <w:p w14:paraId="204C7906" w14:textId="77777777" w:rsidR="00E00F34" w:rsidRPr="00756F3E" w:rsidRDefault="00E00F34" w:rsidP="00E00F34">
            <w:pPr>
              <w:pStyle w:val="TableText"/>
              <w:ind w:right="227"/>
              <w:jc w:val="right"/>
              <w:rPr>
                <w:rFonts w:cs="Times New Roman"/>
                <w:sz w:val="10"/>
                <w:szCs w:val="10"/>
                <w:lang w:eastAsia="en-GB"/>
              </w:rPr>
            </w:pPr>
          </w:p>
        </w:tc>
        <w:tc>
          <w:tcPr>
            <w:tcW w:w="1500" w:type="dxa"/>
            <w:tcBorders>
              <w:left w:val="nil"/>
              <w:right w:val="nil"/>
            </w:tcBorders>
            <w:shd w:val="clear" w:color="auto" w:fill="auto"/>
            <w:noWrap/>
            <w:vAlign w:val="bottom"/>
            <w:hideMark/>
          </w:tcPr>
          <w:p w14:paraId="30CB9A1F" w14:textId="77777777" w:rsidR="00E00F34" w:rsidRPr="00756F3E" w:rsidRDefault="00E00F34" w:rsidP="00E00F34">
            <w:pPr>
              <w:pStyle w:val="TableText"/>
              <w:rPr>
                <w:rFonts w:cs="Times New Roman"/>
                <w:sz w:val="10"/>
                <w:szCs w:val="10"/>
                <w:lang w:eastAsia="en-GB"/>
              </w:rPr>
            </w:pPr>
          </w:p>
        </w:tc>
      </w:tr>
      <w:tr w:rsidR="00E00F34" w:rsidRPr="00756F3E" w14:paraId="604B4E48" w14:textId="77777777" w:rsidTr="00E446DC">
        <w:trPr>
          <w:trHeight w:val="300"/>
        </w:trPr>
        <w:tc>
          <w:tcPr>
            <w:tcW w:w="2280" w:type="dxa"/>
            <w:tcBorders>
              <w:top w:val="nil"/>
              <w:left w:val="nil"/>
              <w:bottom w:val="nil"/>
              <w:right w:val="nil"/>
            </w:tcBorders>
            <w:shd w:val="clear" w:color="auto" w:fill="auto"/>
            <w:noWrap/>
            <w:vAlign w:val="bottom"/>
            <w:hideMark/>
          </w:tcPr>
          <w:p w14:paraId="225369D6" w14:textId="6F1F3E46" w:rsidR="00E00F34" w:rsidRPr="00756F3E" w:rsidRDefault="00E00F34" w:rsidP="00E00F34">
            <w:pPr>
              <w:pStyle w:val="TableText"/>
              <w:ind w:left="2163"/>
              <w:rPr>
                <w:b/>
                <w:bCs/>
                <w:i/>
                <w:iCs/>
                <w:lang w:eastAsia="en-GB"/>
              </w:rPr>
            </w:pPr>
          </w:p>
        </w:tc>
        <w:tc>
          <w:tcPr>
            <w:tcW w:w="2280" w:type="dxa"/>
            <w:tcBorders>
              <w:top w:val="single" w:sz="4" w:space="0" w:color="auto"/>
              <w:left w:val="nil"/>
              <w:bottom w:val="single" w:sz="4" w:space="0" w:color="auto"/>
              <w:right w:val="nil"/>
            </w:tcBorders>
            <w:shd w:val="clear" w:color="auto" w:fill="auto"/>
            <w:vAlign w:val="bottom"/>
          </w:tcPr>
          <w:p w14:paraId="0D66E00E" w14:textId="63E628F8" w:rsidR="00E00F34" w:rsidRPr="00756F3E" w:rsidRDefault="00E00F34" w:rsidP="00E00F34">
            <w:pPr>
              <w:pStyle w:val="TableText"/>
              <w:rPr>
                <w:b/>
                <w:bCs/>
                <w:i/>
                <w:iCs/>
                <w:lang w:eastAsia="en-GB"/>
              </w:rPr>
            </w:pPr>
            <w:r>
              <w:rPr>
                <w:b/>
                <w:bCs/>
                <w:i/>
                <w:iCs/>
                <w:lang w:eastAsia="en-GB"/>
              </w:rPr>
              <w:t>Total all suppliers</w:t>
            </w:r>
          </w:p>
        </w:tc>
        <w:tc>
          <w:tcPr>
            <w:tcW w:w="1280" w:type="dxa"/>
            <w:tcBorders>
              <w:top w:val="single" w:sz="4" w:space="0" w:color="auto"/>
              <w:left w:val="nil"/>
              <w:bottom w:val="single" w:sz="4" w:space="0" w:color="auto"/>
              <w:right w:val="nil"/>
            </w:tcBorders>
            <w:shd w:val="clear" w:color="auto" w:fill="auto"/>
            <w:noWrap/>
            <w:hideMark/>
          </w:tcPr>
          <w:p w14:paraId="3EAE33E8" w14:textId="034EA12B" w:rsidR="00E00F34" w:rsidRPr="00756F3E" w:rsidRDefault="00E00F34" w:rsidP="00E00F34">
            <w:pPr>
              <w:pStyle w:val="TableText"/>
              <w:ind w:right="227"/>
              <w:jc w:val="right"/>
              <w:rPr>
                <w:lang w:eastAsia="en-GB"/>
              </w:rPr>
            </w:pPr>
            <w:r w:rsidRPr="001E7E7B">
              <w:t>10</w:t>
            </w:r>
            <w:r>
              <w:t>,</w:t>
            </w:r>
            <w:r w:rsidR="0012796C">
              <w:t>562</w:t>
            </w:r>
          </w:p>
        </w:tc>
        <w:tc>
          <w:tcPr>
            <w:tcW w:w="1815" w:type="dxa"/>
            <w:tcBorders>
              <w:top w:val="single" w:sz="4" w:space="0" w:color="auto"/>
              <w:left w:val="nil"/>
              <w:bottom w:val="single" w:sz="4" w:space="0" w:color="auto"/>
              <w:right w:val="nil"/>
            </w:tcBorders>
            <w:shd w:val="clear" w:color="auto" w:fill="auto"/>
            <w:noWrap/>
            <w:hideMark/>
          </w:tcPr>
          <w:p w14:paraId="3C0A1550" w14:textId="52988E02" w:rsidR="00E00F34" w:rsidRPr="00756F3E" w:rsidRDefault="00E00F34" w:rsidP="00E00F34">
            <w:pPr>
              <w:pStyle w:val="TableText"/>
              <w:ind w:right="227"/>
              <w:jc w:val="right"/>
              <w:rPr>
                <w:lang w:eastAsia="en-GB"/>
              </w:rPr>
            </w:pPr>
            <w:r w:rsidRPr="001E7E7B">
              <w:t>£70,4</w:t>
            </w:r>
            <w:r w:rsidR="00B17D7D">
              <w:t>96.281</w:t>
            </w:r>
          </w:p>
        </w:tc>
        <w:tc>
          <w:tcPr>
            <w:tcW w:w="1500" w:type="dxa"/>
            <w:tcBorders>
              <w:left w:val="nil"/>
              <w:right w:val="nil"/>
            </w:tcBorders>
            <w:shd w:val="clear" w:color="auto" w:fill="auto"/>
            <w:noWrap/>
            <w:vAlign w:val="bottom"/>
            <w:hideMark/>
          </w:tcPr>
          <w:p w14:paraId="69E06338" w14:textId="77777777" w:rsidR="00E00F34" w:rsidRPr="00756F3E" w:rsidRDefault="00E00F34" w:rsidP="00E00F34">
            <w:pPr>
              <w:pStyle w:val="TableText"/>
              <w:rPr>
                <w:lang w:eastAsia="en-GB"/>
              </w:rPr>
            </w:pPr>
          </w:p>
        </w:tc>
      </w:tr>
    </w:tbl>
    <w:p w14:paraId="2361FBBB" w14:textId="61725D37" w:rsidR="00756F3E" w:rsidRDefault="00305438" w:rsidP="002161A4">
      <w:pPr>
        <w:pStyle w:val="TableText"/>
        <w:spacing w:before="80"/>
        <w:ind w:left="284" w:hanging="284"/>
      </w:pPr>
      <w:r>
        <w:rPr>
          <w:rFonts w:cstheme="minorHAnsi"/>
        </w:rPr>
        <w:t>†</w:t>
      </w:r>
      <w:r w:rsidR="002161A4">
        <w:tab/>
      </w:r>
      <w:r>
        <w:t xml:space="preserve">‘Other CH </w:t>
      </w:r>
      <w:r w:rsidRPr="00305438">
        <w:t>Company Types</w:t>
      </w:r>
      <w:r>
        <w:t xml:space="preserve">’ include </w:t>
      </w:r>
      <w:r w:rsidR="002161A4">
        <w:t xml:space="preserve">Investment Companies, Limited Liability Partnerships </w:t>
      </w:r>
      <w:r w:rsidR="00801BDF">
        <w:t>&amp;</w:t>
      </w:r>
      <w:r w:rsidR="002161A4">
        <w:t xml:space="preserve"> Limited Partnerships, Overseas Entities, Private Unlimited Companies </w:t>
      </w:r>
      <w:r w:rsidR="00801BDF">
        <w:t>&amp;</w:t>
      </w:r>
      <w:r w:rsidR="002161A4">
        <w:t xml:space="preserve"> Public Limited Companies, and Royal Charter Companies.</w:t>
      </w:r>
    </w:p>
    <w:p w14:paraId="695FDBD8" w14:textId="77777777" w:rsidR="00305438" w:rsidRDefault="00305438" w:rsidP="00D04F2A">
      <w:pPr>
        <w:pStyle w:val="AfterTableGap"/>
      </w:pPr>
    </w:p>
    <w:p w14:paraId="063D5191" w14:textId="77777777" w:rsidR="00B661B9" w:rsidRDefault="00B661B9" w:rsidP="00B661B9">
      <w:pPr>
        <w:pStyle w:val="BodyText"/>
      </w:pPr>
      <w:r>
        <w:t xml:space="preserve">Much less commonly, Private Limited Companies (i.e. limited liability by shares rather than by guarantee) can be set up as VCSE.  Once again, if a supplier’s website explicitly claims it is, for instance, a Social Enterprise, then it has been classed here as a VCSE. Only 1 such </w:t>
      </w:r>
      <w:r>
        <w:lastRenderedPageBreak/>
        <w:t xml:space="preserve">instance has been found, although we did not systematically search all 2,160 Private Limited Company websites. </w:t>
      </w:r>
    </w:p>
    <w:p w14:paraId="487D8A67" w14:textId="764D5D5C" w:rsidR="00490965" w:rsidRDefault="00305438" w:rsidP="00BE26AA">
      <w:pPr>
        <w:pStyle w:val="BodyText"/>
      </w:pPr>
      <w:r>
        <w:t xml:space="preserve">The </w:t>
      </w:r>
      <w:r w:rsidR="00175FFB">
        <w:t>6,3</w:t>
      </w:r>
      <w:r w:rsidR="00B17D7D">
        <w:t>41</w:t>
      </w:r>
      <w:r w:rsidR="00175FFB">
        <w:t xml:space="preserve"> </w:t>
      </w:r>
      <w:r>
        <w:t xml:space="preserve">‘Other Suppliers’ that were not found in either the CC or CH registers were also left as ‘Not VCSE’ unless their websites were found and contained explicit claims that they were VCSE.  </w:t>
      </w:r>
      <w:r w:rsidR="002161A4">
        <w:t>Only 4 such suppliers were identified, though t</w:t>
      </w:r>
      <w:r>
        <w:t>here is</w:t>
      </w:r>
      <w:r w:rsidR="002161A4">
        <w:t xml:space="preserve"> </w:t>
      </w:r>
      <w:r>
        <w:t>little doubt that a significant proportion will</w:t>
      </w:r>
      <w:r w:rsidR="00B661B9">
        <w:t xml:space="preserve">, in fact, </w:t>
      </w:r>
      <w:r>
        <w:t xml:space="preserve">be VCSE. The </w:t>
      </w:r>
      <w:r w:rsidR="002161A4" w:rsidRPr="00801BDF">
        <w:rPr>
          <w:i/>
          <w:iCs/>
        </w:rPr>
        <w:t xml:space="preserve">2013 </w:t>
      </w:r>
      <w:r w:rsidRPr="00801BDF">
        <w:rPr>
          <w:i/>
          <w:iCs/>
        </w:rPr>
        <w:t>Greater Manchester State of the Voluntary Sector</w:t>
      </w:r>
      <w:r>
        <w:t xml:space="preserve"> re</w:t>
      </w:r>
      <w:r w:rsidR="002161A4">
        <w:t>port</w:t>
      </w:r>
      <w:r w:rsidR="002161A4">
        <w:rPr>
          <w:rStyle w:val="FootnoteReference"/>
        </w:rPr>
        <w:footnoteReference w:id="16"/>
      </w:r>
      <w:r>
        <w:t xml:space="preserve"> </w:t>
      </w:r>
      <w:r w:rsidR="002161A4">
        <w:t xml:space="preserve">estimated, for instance, that there </w:t>
      </w:r>
      <w:r w:rsidR="002161A4" w:rsidRPr="00C864E1">
        <w:t xml:space="preserve">were 9,624 </w:t>
      </w:r>
      <w:r w:rsidR="002161A4">
        <w:t xml:space="preserve">voluntary </w:t>
      </w:r>
      <w:r w:rsidR="002161A4" w:rsidRPr="00C864E1">
        <w:t>organisations in Greater Manchester</w:t>
      </w:r>
      <w:r w:rsidR="002161A4">
        <w:t xml:space="preserve">, </w:t>
      </w:r>
      <w:r w:rsidR="001411B6">
        <w:t xml:space="preserve">of which only </w:t>
      </w:r>
      <w:r w:rsidR="002161A4" w:rsidRPr="00C864E1">
        <w:t xml:space="preserve">4,968 </w:t>
      </w:r>
      <w:r w:rsidR="002161A4">
        <w:t xml:space="preserve">had been registered. </w:t>
      </w:r>
      <w:r w:rsidR="002161A4" w:rsidRPr="00CF46D4">
        <w:rPr>
          <w:b/>
          <w:bCs/>
          <w:i/>
          <w:iCs/>
        </w:rPr>
        <w:t xml:space="preserve">It is </w:t>
      </w:r>
      <w:r w:rsidR="00CF46D4" w:rsidRPr="00CF46D4">
        <w:rPr>
          <w:b/>
          <w:bCs/>
          <w:i/>
          <w:iCs/>
        </w:rPr>
        <w:t xml:space="preserve">highly </w:t>
      </w:r>
      <w:r w:rsidR="002161A4" w:rsidRPr="00CF46D4">
        <w:rPr>
          <w:b/>
          <w:bCs/>
          <w:i/>
          <w:iCs/>
        </w:rPr>
        <w:t xml:space="preserve">likely that many </w:t>
      </w:r>
      <w:r w:rsidR="00CF46D4" w:rsidRPr="00CF46D4">
        <w:rPr>
          <w:b/>
          <w:bCs/>
          <w:i/>
          <w:iCs/>
        </w:rPr>
        <w:t xml:space="preserve">small </w:t>
      </w:r>
      <w:r w:rsidR="002161A4" w:rsidRPr="00CF46D4">
        <w:rPr>
          <w:b/>
          <w:bCs/>
          <w:i/>
          <w:iCs/>
        </w:rPr>
        <w:t>‘below</w:t>
      </w:r>
      <w:r w:rsidR="00CF46D4" w:rsidRPr="00CF46D4">
        <w:rPr>
          <w:b/>
          <w:bCs/>
          <w:i/>
          <w:iCs/>
        </w:rPr>
        <w:t>-</w:t>
      </w:r>
      <w:r w:rsidR="002161A4" w:rsidRPr="00CF46D4">
        <w:rPr>
          <w:b/>
          <w:bCs/>
          <w:i/>
          <w:iCs/>
        </w:rPr>
        <w:t>the</w:t>
      </w:r>
      <w:r w:rsidR="00CF46D4" w:rsidRPr="00CF46D4">
        <w:rPr>
          <w:b/>
          <w:bCs/>
          <w:i/>
          <w:iCs/>
        </w:rPr>
        <w:t>-</w:t>
      </w:r>
      <w:r w:rsidR="002161A4" w:rsidRPr="00CF46D4">
        <w:rPr>
          <w:b/>
          <w:bCs/>
          <w:i/>
          <w:iCs/>
        </w:rPr>
        <w:t>radar’</w:t>
      </w:r>
      <w:r w:rsidR="001411B6" w:rsidRPr="00CF46D4">
        <w:rPr>
          <w:b/>
          <w:bCs/>
          <w:i/>
          <w:iCs/>
        </w:rPr>
        <w:t xml:space="preserve"> VCSE organisations lie hidden within the ‘Other Suppliers’ category.</w:t>
      </w:r>
    </w:p>
    <w:p w14:paraId="677773F4" w14:textId="5FF38277" w:rsidR="001411B6" w:rsidRDefault="001411B6" w:rsidP="006D44CB">
      <w:pPr>
        <w:pStyle w:val="BodyText"/>
        <w:pBdr>
          <w:top w:val="single" w:sz="4" w:space="1" w:color="auto"/>
          <w:left w:val="single" w:sz="4" w:space="4" w:color="auto"/>
          <w:bottom w:val="single" w:sz="4" w:space="1" w:color="auto"/>
          <w:right w:val="single" w:sz="4" w:space="4" w:color="auto"/>
        </w:pBdr>
      </w:pPr>
      <w:r>
        <w:t>The overall national picture, therefore, is that 1,0</w:t>
      </w:r>
      <w:r w:rsidR="00B17D7D">
        <w:t>51</w:t>
      </w:r>
      <w:r>
        <w:t xml:space="preserve"> (10.0%) of the 10,</w:t>
      </w:r>
      <w:r w:rsidR="00B17D7D">
        <w:t>562</w:t>
      </w:r>
      <w:r>
        <w:t xml:space="preserve"> </w:t>
      </w:r>
      <w:r w:rsidR="00B17D7D">
        <w:t xml:space="preserve">unique </w:t>
      </w:r>
      <w:r>
        <w:t xml:space="preserve">suppliers receiving &gt;£25k in the CCG accounts </w:t>
      </w:r>
      <w:r w:rsidR="00CF46D4">
        <w:t>have been</w:t>
      </w:r>
      <w:r>
        <w:t xml:space="preserve"> identified as VCSE. They received just </w:t>
      </w:r>
      <w:r w:rsidRPr="001411B6">
        <w:t>£1,9</w:t>
      </w:r>
      <w:r w:rsidR="00B17D7D">
        <w:t>12.409</w:t>
      </w:r>
      <w:r>
        <w:t xml:space="preserve"> million (2.7%) of the total </w:t>
      </w:r>
      <w:r w:rsidRPr="001411B6">
        <w:t>£70,</w:t>
      </w:r>
      <w:r w:rsidR="006D44CB">
        <w:t>4</w:t>
      </w:r>
      <w:r w:rsidR="00B17D7D">
        <w:t>96.281</w:t>
      </w:r>
      <w:r>
        <w:t xml:space="preserve"> </w:t>
      </w:r>
      <w:r w:rsidR="00B661B9">
        <w:t xml:space="preserve">million spent </w:t>
      </w:r>
      <w:r>
        <w:t>by CCGs.</w:t>
      </w:r>
    </w:p>
    <w:p w14:paraId="7B125E42" w14:textId="77777777" w:rsidR="00FA24E9" w:rsidRDefault="00FA24E9" w:rsidP="00FA24E9">
      <w:pPr>
        <w:pStyle w:val="AfterTableGap"/>
      </w:pPr>
    </w:p>
    <w:p w14:paraId="3EBB9979" w14:textId="57DF4786" w:rsidR="001411B6" w:rsidRDefault="005C6BAD" w:rsidP="003E6FBC">
      <w:pPr>
        <w:pStyle w:val="Heading1"/>
      </w:pPr>
      <w:bookmarkStart w:id="35" w:name="_Toc127795208"/>
      <w:r>
        <w:t xml:space="preserve">National </w:t>
      </w:r>
      <w:r w:rsidR="001411B6" w:rsidRPr="00FA24E9">
        <w:t xml:space="preserve">Overview of </w:t>
      </w:r>
      <w:r>
        <w:t xml:space="preserve">CCG Spending on </w:t>
      </w:r>
      <w:r w:rsidR="001411B6" w:rsidRPr="00FA24E9">
        <w:t>VCSE Suppliers</w:t>
      </w:r>
      <w:bookmarkEnd w:id="35"/>
    </w:p>
    <w:p w14:paraId="063022E1" w14:textId="7780D3E7" w:rsidR="009C43DF" w:rsidRDefault="0069555E" w:rsidP="000B4343">
      <w:pPr>
        <w:pStyle w:val="BodyText"/>
      </w:pPr>
      <w:r>
        <w:t xml:space="preserve">CCG </w:t>
      </w:r>
      <w:r w:rsidR="005C6BAD">
        <w:t>spending</w:t>
      </w:r>
      <w:r>
        <w:t xml:space="preserve"> on </w:t>
      </w:r>
      <w:r w:rsidR="009C43DF">
        <w:t xml:space="preserve">VCSEs </w:t>
      </w:r>
      <w:r>
        <w:t xml:space="preserve">is highly skewed, with relatively few </w:t>
      </w:r>
      <w:r w:rsidR="009C43DF">
        <w:t>receiv</w:t>
      </w:r>
      <w:r>
        <w:t>ing</w:t>
      </w:r>
      <w:r w:rsidR="009C43DF">
        <w:t xml:space="preserve"> substantial funding </w:t>
      </w:r>
      <w:r w:rsidR="00700583">
        <w:t xml:space="preserve">and </w:t>
      </w:r>
      <w:r w:rsidR="009C43DF">
        <w:t>a very long tail of more minor suppliers</w:t>
      </w:r>
      <w:r w:rsidR="00CF3228">
        <w:t xml:space="preserve"> (</w:t>
      </w:r>
      <w:r w:rsidR="00CF3228">
        <w:fldChar w:fldCharType="begin"/>
      </w:r>
      <w:r w:rsidR="00CF3228">
        <w:instrText xml:space="preserve"> REF _Ref126357025 \h </w:instrText>
      </w:r>
      <w:r w:rsidR="00CF3228">
        <w:fldChar w:fldCharType="separate"/>
      </w:r>
      <w:r w:rsidR="00842C06">
        <w:t xml:space="preserve">Figure </w:t>
      </w:r>
      <w:r w:rsidR="00842C06">
        <w:rPr>
          <w:noProof/>
        </w:rPr>
        <w:t>4</w:t>
      </w:r>
      <w:r w:rsidR="00CF3228">
        <w:fldChar w:fldCharType="end"/>
      </w:r>
      <w:r w:rsidR="00CF3228">
        <w:t>)</w:t>
      </w:r>
      <w:r w:rsidR="009C43DF">
        <w:t xml:space="preserve">. This tail would have been </w:t>
      </w:r>
      <w:r>
        <w:t xml:space="preserve">far </w:t>
      </w:r>
      <w:r w:rsidR="009C43DF">
        <w:t>more pronounced had been possible to include invoices of less than £25k.</w:t>
      </w:r>
    </w:p>
    <w:p w14:paraId="3F08E78E" w14:textId="77777777" w:rsidR="009C43DF" w:rsidRDefault="009C43DF" w:rsidP="009C43DF">
      <w:pPr>
        <w:pStyle w:val="BodyText"/>
        <w:keepNext/>
      </w:pPr>
      <w:r>
        <w:rPr>
          <w:noProof/>
        </w:rPr>
        <w:drawing>
          <wp:inline distT="0" distB="0" distL="0" distR="0" wp14:anchorId="634795FC" wp14:editId="41454241">
            <wp:extent cx="5731510" cy="2148205"/>
            <wp:effectExtent l="0" t="0" r="2540" b="4445"/>
            <wp:docPr id="39" name="Picture 3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62F96FFA" w14:textId="642C9738" w:rsidR="009C43DF" w:rsidRDefault="009C43DF" w:rsidP="00E31C7A">
      <w:pPr>
        <w:pStyle w:val="FigureCaption"/>
      </w:pPr>
      <w:bookmarkStart w:id="36" w:name="_Ref126357025"/>
      <w:bookmarkStart w:id="37" w:name="_Toc127795235"/>
      <w:r>
        <w:t xml:space="preserve">Figure </w:t>
      </w:r>
      <w:fldSimple w:instr=" SEQ Figure \* ARABIC ">
        <w:r w:rsidR="006118DB">
          <w:rPr>
            <w:noProof/>
          </w:rPr>
          <w:t>4</w:t>
        </w:r>
      </w:fldSimple>
      <w:bookmarkEnd w:id="36"/>
      <w:r>
        <w:t xml:space="preserve">: </w:t>
      </w:r>
      <w:r w:rsidRPr="00041A69">
        <w:t xml:space="preserve">National (189 CCGs) </w:t>
      </w:r>
      <w:r w:rsidR="00700583">
        <w:t>e</w:t>
      </w:r>
      <w:r w:rsidRPr="00041A69">
        <w:t>xpenditure on individual VCSEs</w:t>
      </w:r>
      <w:r w:rsidR="00700583">
        <w:t>; 2018/19</w:t>
      </w:r>
      <w:bookmarkEnd w:id="37"/>
    </w:p>
    <w:p w14:paraId="1D4822F2" w14:textId="1A655ABE" w:rsidR="00226F71" w:rsidRDefault="00CF3228" w:rsidP="009C43DF">
      <w:pPr>
        <w:pStyle w:val="BodyText"/>
      </w:pPr>
      <w:r>
        <w:t>I</w:t>
      </w:r>
      <w:r w:rsidR="0069555E">
        <w:t xml:space="preserve">n 2018/19 just </w:t>
      </w:r>
      <w:r w:rsidR="009C43DF">
        <w:t xml:space="preserve">six </w:t>
      </w:r>
      <w:r w:rsidR="00700583">
        <w:t>VCSEs</w:t>
      </w:r>
      <w:r w:rsidR="009C43DF">
        <w:t xml:space="preserve"> (named</w:t>
      </w:r>
      <w:r w:rsidR="00700583">
        <w:t xml:space="preserve"> above</w:t>
      </w:r>
      <w:r w:rsidR="009C43DF">
        <w:t>) received more than £50m.</w:t>
      </w:r>
      <w:r w:rsidR="00700583">
        <w:t xml:space="preserve"> from across all 189 CCG</w:t>
      </w:r>
      <w:r w:rsidR="004827BD">
        <w:t>s</w:t>
      </w:r>
      <w:r w:rsidR="005C6BAD">
        <w:t xml:space="preserve"> for which there are reliable data</w:t>
      </w:r>
      <w:r w:rsidR="00700583">
        <w:t xml:space="preserve">, </w:t>
      </w:r>
      <w:r w:rsidR="009C43DF">
        <w:t>and</w:t>
      </w:r>
      <w:r w:rsidR="00700583">
        <w:t xml:space="preserve"> </w:t>
      </w:r>
      <w:r w:rsidR="009C43DF">
        <w:t xml:space="preserve">together </w:t>
      </w:r>
      <w:r w:rsidR="00700583">
        <w:t>they</w:t>
      </w:r>
      <w:r w:rsidR="009C43DF">
        <w:t xml:space="preserve"> received 23</w:t>
      </w:r>
      <w:r w:rsidR="00226F71">
        <w:t xml:space="preserve">.5% of the total national CCG </w:t>
      </w:r>
      <w:r w:rsidR="00226F71">
        <w:lastRenderedPageBreak/>
        <w:t xml:space="preserve">spend on VCSEs. </w:t>
      </w:r>
      <w:r w:rsidR="004827BD">
        <w:t>Some</w:t>
      </w:r>
      <w:r w:rsidR="00226F71">
        <w:t xml:space="preserve"> </w:t>
      </w:r>
      <w:r w:rsidR="009C43DF">
        <w:t xml:space="preserve">34 suppliers </w:t>
      </w:r>
      <w:r w:rsidR="00226F71">
        <w:t xml:space="preserve">received </w:t>
      </w:r>
      <w:r w:rsidR="009C43DF">
        <w:t>more than £10m</w:t>
      </w:r>
      <w:r w:rsidR="00226F71">
        <w:t xml:space="preserve"> (</w:t>
      </w:r>
      <w:r w:rsidR="004827BD">
        <w:t>t</w:t>
      </w:r>
      <w:r w:rsidR="00226F71">
        <w:t>o</w:t>
      </w:r>
      <w:r w:rsidR="004827BD">
        <w:t>talling</w:t>
      </w:r>
      <w:r w:rsidR="00226F71">
        <w:t xml:space="preserve"> 60.</w:t>
      </w:r>
      <w:r w:rsidR="0040432D">
        <w:t>6</w:t>
      </w:r>
      <w:r w:rsidR="00226F71">
        <w:t xml:space="preserve">% of total </w:t>
      </w:r>
      <w:r w:rsidR="004827BD">
        <w:t xml:space="preserve">VCSE </w:t>
      </w:r>
      <w:r w:rsidR="00226F71">
        <w:t>spend)</w:t>
      </w:r>
      <w:r w:rsidR="0069555E">
        <w:t>, and</w:t>
      </w:r>
      <w:r w:rsidR="00700583">
        <w:t xml:space="preserve"> </w:t>
      </w:r>
      <w:r w:rsidR="009C43DF">
        <w:t>2</w:t>
      </w:r>
      <w:r w:rsidR="0040432D">
        <w:t>42</w:t>
      </w:r>
      <w:r w:rsidR="009C43DF">
        <w:t xml:space="preserve"> suppliers more than £1m</w:t>
      </w:r>
      <w:r w:rsidR="00226F71">
        <w:t xml:space="preserve"> (91.</w:t>
      </w:r>
      <w:r w:rsidR="0040432D">
        <w:t>1</w:t>
      </w:r>
      <w:r w:rsidR="00226F71">
        <w:t xml:space="preserve">% of total VCSE spend).  </w:t>
      </w:r>
      <w:r w:rsidR="00700583">
        <w:fldChar w:fldCharType="begin"/>
      </w:r>
      <w:r w:rsidR="00700583">
        <w:instrText xml:space="preserve"> REF _Ref126362559 \h </w:instrText>
      </w:r>
      <w:r w:rsidR="00700583">
        <w:fldChar w:fldCharType="separate"/>
      </w:r>
      <w:r w:rsidR="00842C06">
        <w:t xml:space="preserve">Figure </w:t>
      </w:r>
      <w:r w:rsidR="00842C06">
        <w:rPr>
          <w:noProof/>
        </w:rPr>
        <w:t>5</w:t>
      </w:r>
      <w:r w:rsidR="00700583">
        <w:fldChar w:fldCharType="end"/>
      </w:r>
      <w:r w:rsidR="0069555E">
        <w:t xml:space="preserve"> below highlights the major VCSEs in terms of </w:t>
      </w:r>
      <w:r w:rsidR="00163C07">
        <w:t xml:space="preserve">either </w:t>
      </w:r>
      <w:r w:rsidR="0069555E">
        <w:t>total income from CCGs</w:t>
      </w:r>
      <w:r w:rsidR="0091476E">
        <w:t xml:space="preserve"> or</w:t>
      </w:r>
      <w:r w:rsidR="0069555E">
        <w:t xml:space="preserve"> the number of CCGs in which they have a</w:t>
      </w:r>
      <w:r w:rsidR="00163C07">
        <w:t>t least some</w:t>
      </w:r>
      <w:r w:rsidR="0069555E">
        <w:t xml:space="preserve"> presence.</w:t>
      </w:r>
      <w:r w:rsidR="00226F71">
        <w:t xml:space="preserve"> </w:t>
      </w:r>
      <w:r w:rsidR="0069555E">
        <w:t xml:space="preserve">These organisations contrast markedly with the vast bulk of VCSEs which receive relatively little from only a small number of CCGs. </w:t>
      </w:r>
    </w:p>
    <w:p w14:paraId="36A346CC" w14:textId="77777777" w:rsidR="00700583" w:rsidRDefault="00700583" w:rsidP="00700583">
      <w:pPr>
        <w:pStyle w:val="BodyText"/>
        <w:keepNext/>
      </w:pPr>
      <w:r>
        <w:rPr>
          <w:noProof/>
        </w:rPr>
        <w:drawing>
          <wp:inline distT="0" distB="0" distL="0" distR="0" wp14:anchorId="23A46235" wp14:editId="7BCA945D">
            <wp:extent cx="5038354" cy="5038354"/>
            <wp:effectExtent l="0" t="0" r="0" b="0"/>
            <wp:docPr id="44" name="Picture 4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8354" cy="5038354"/>
                    </a:xfrm>
                    <a:prstGeom prst="rect">
                      <a:avLst/>
                    </a:prstGeom>
                  </pic:spPr>
                </pic:pic>
              </a:graphicData>
            </a:graphic>
          </wp:inline>
        </w:drawing>
      </w:r>
    </w:p>
    <w:p w14:paraId="602C61BD" w14:textId="43D09C86" w:rsidR="00226F71" w:rsidRDefault="00700583" w:rsidP="00E31C7A">
      <w:pPr>
        <w:pStyle w:val="FigureCaption"/>
      </w:pPr>
      <w:bookmarkStart w:id="38" w:name="_Ref126362559"/>
      <w:bookmarkStart w:id="39" w:name="_Toc127795236"/>
      <w:r>
        <w:t xml:space="preserve">Figure </w:t>
      </w:r>
      <w:fldSimple w:instr=" SEQ Figure \* ARABIC ">
        <w:r w:rsidR="006118DB">
          <w:rPr>
            <w:noProof/>
          </w:rPr>
          <w:t>5</w:t>
        </w:r>
      </w:fldSimple>
      <w:bookmarkEnd w:id="38"/>
      <w:r>
        <w:t>: Total CCG spending on VCSEs against number of CCGs served</w:t>
      </w:r>
      <w:bookmarkEnd w:id="39"/>
    </w:p>
    <w:p w14:paraId="44CEC866" w14:textId="52EE280A" w:rsidR="00C55434" w:rsidRDefault="0069555E" w:rsidP="00226F71">
      <w:pPr>
        <w:pStyle w:val="BodyText"/>
      </w:pPr>
      <w:r>
        <w:t xml:space="preserve">The dependency of VCSEs, however large, on just a few CCGs </w:t>
      </w:r>
      <w:r w:rsidR="0091476E">
        <w:t xml:space="preserve">(e.g. The Livewell Foundation, City Health Care Partnership and Sirona Care &amp; Health) </w:t>
      </w:r>
      <w:r>
        <w:t xml:space="preserve">is likely to affect how they </w:t>
      </w:r>
      <w:r w:rsidR="0091476E">
        <w:t xml:space="preserve">engage in the commissioning process and will likely contrast with VCSEs with multiple commissioning relationships (such as Marie Curie, Marie Stopes International, Integrated Care 24, the BPAS and Nuffield Health).  </w:t>
      </w:r>
      <w:r w:rsidR="00C55434">
        <w:t xml:space="preserve">Commissioning relationships will, </w:t>
      </w:r>
      <w:r w:rsidR="005C6BAD">
        <w:t>of course</w:t>
      </w:r>
      <w:r w:rsidR="00C55434">
        <w:t xml:space="preserve">, also reflect the extent to which individual VCSEs are dependent on CCG income within their </w:t>
      </w:r>
      <w:r w:rsidR="00C55434" w:rsidRPr="00CF3228">
        <w:rPr>
          <w:u w:val="single"/>
        </w:rPr>
        <w:t>overall</w:t>
      </w:r>
      <w:r w:rsidR="00C55434">
        <w:t xml:space="preserve"> portfolio of activity</w:t>
      </w:r>
      <w:r w:rsidR="00560948">
        <w:t xml:space="preserve"> – </w:t>
      </w:r>
      <w:r w:rsidR="00CF46D4">
        <w:t>but</w:t>
      </w:r>
      <w:r w:rsidR="00560948">
        <w:t xml:space="preserve"> this cannot be captured through an analysis of CCG accounts alone.</w:t>
      </w:r>
    </w:p>
    <w:p w14:paraId="440979D8" w14:textId="1582FA20" w:rsidR="00F72871" w:rsidRDefault="00560948" w:rsidP="00226F71">
      <w:pPr>
        <w:pStyle w:val="BodyText"/>
      </w:pPr>
      <w:r>
        <w:lastRenderedPageBreak/>
        <w:t>T</w:t>
      </w:r>
      <w:r w:rsidR="00C55434">
        <w:t>he City Health Care Partnership</w:t>
      </w:r>
      <w:r w:rsidR="00C55434">
        <w:rPr>
          <w:rStyle w:val="FootnoteReference"/>
        </w:rPr>
        <w:footnoteReference w:id="17"/>
      </w:r>
      <w:r w:rsidR="00C55434">
        <w:t xml:space="preserve">, for instance, </w:t>
      </w:r>
      <w:r>
        <w:t xml:space="preserve">had </w:t>
      </w:r>
      <w:r w:rsidR="00C55434">
        <w:t xml:space="preserve">annual revenue </w:t>
      </w:r>
      <w:r>
        <w:t xml:space="preserve">of </w:t>
      </w:r>
      <w:r w:rsidR="00C55434">
        <w:t>£122.810m</w:t>
      </w:r>
      <w:r>
        <w:t xml:space="preserve"> in 2018/19, meaning that </w:t>
      </w:r>
      <w:r w:rsidR="00F72871">
        <w:t>just two CCGs (Hull and the East Riding of Yorkshire) constitute</w:t>
      </w:r>
      <w:r>
        <w:t>d</w:t>
      </w:r>
      <w:r w:rsidR="00F72871">
        <w:t xml:space="preserve"> </w:t>
      </w:r>
      <w:r>
        <w:t xml:space="preserve">over </w:t>
      </w:r>
      <w:r w:rsidR="00F72871">
        <w:t xml:space="preserve">67% of </w:t>
      </w:r>
      <w:r>
        <w:t xml:space="preserve">its total </w:t>
      </w:r>
      <w:r w:rsidR="00F72871">
        <w:t xml:space="preserve">income.  In contrast, </w:t>
      </w:r>
      <w:r>
        <w:t>Marie Stopes International received over £296m from across multiple countries</w:t>
      </w:r>
      <w:r w:rsidR="004827BD">
        <w:rPr>
          <w:rStyle w:val="FootnoteReference"/>
        </w:rPr>
        <w:footnoteReference w:id="18"/>
      </w:r>
      <w:r>
        <w:t xml:space="preserve">, meaning that even the largest of </w:t>
      </w:r>
      <w:r w:rsidR="005C6BAD">
        <w:t>its</w:t>
      </w:r>
      <w:r>
        <w:t xml:space="preserve"> CCG </w:t>
      </w:r>
      <w:r w:rsidR="00163C07">
        <w:t>funders</w:t>
      </w:r>
      <w:r>
        <w:t xml:space="preserve"> (Greenwich) only </w:t>
      </w:r>
      <w:r w:rsidR="00163C07">
        <w:t>contributed</w:t>
      </w:r>
      <w:r>
        <w:t xml:space="preserve"> 0.25% </w:t>
      </w:r>
      <w:r w:rsidR="00163C07">
        <w:t>towards</w:t>
      </w:r>
      <w:r>
        <w:t xml:space="preserve"> its overall income.</w:t>
      </w:r>
    </w:p>
    <w:p w14:paraId="2291B24D" w14:textId="213AD9E2" w:rsidR="00226F71" w:rsidRDefault="00F72871" w:rsidP="004827BD">
      <w:pPr>
        <w:pStyle w:val="BodyText"/>
      </w:pPr>
      <w:r>
        <w:t xml:space="preserve">The </w:t>
      </w:r>
      <w:r w:rsidR="00560948">
        <w:t xml:space="preserve">CCG </w:t>
      </w:r>
      <w:r>
        <w:t xml:space="preserve">accounts </w:t>
      </w:r>
      <w:r w:rsidR="005C6BAD">
        <w:t xml:space="preserve">can </w:t>
      </w:r>
      <w:r w:rsidR="00560948">
        <w:t xml:space="preserve">provide a valuable </w:t>
      </w:r>
      <w:r>
        <w:t xml:space="preserve">starting point for </w:t>
      </w:r>
      <w:r w:rsidR="00560948">
        <w:t xml:space="preserve">understanding the context within which individual VCSEs operate. </w:t>
      </w:r>
      <w:r w:rsidR="00163C07">
        <w:t xml:space="preserve">An </w:t>
      </w:r>
      <w:r w:rsidR="004827BD">
        <w:t>a</w:t>
      </w:r>
      <w:r w:rsidR="00163C07">
        <w:t xml:space="preserve">nalysis </w:t>
      </w:r>
      <w:r w:rsidR="004827BD">
        <w:t>o</w:t>
      </w:r>
      <w:r w:rsidR="00163C07">
        <w:t>f</w:t>
      </w:r>
      <w:r w:rsidR="004827BD">
        <w:t xml:space="preserve"> </w:t>
      </w:r>
      <w:r w:rsidR="005C6BAD">
        <w:t xml:space="preserve">overall </w:t>
      </w:r>
      <w:r w:rsidR="004827BD">
        <w:t>patterns of VCSE dependency l</w:t>
      </w:r>
      <w:r w:rsidR="00CF46D4">
        <w:t xml:space="preserve">ay </w:t>
      </w:r>
      <w:r w:rsidR="004827BD">
        <w:t xml:space="preserve">well beyond the scope of the </w:t>
      </w:r>
      <w:r w:rsidR="004827BD" w:rsidRPr="005C6BAD">
        <w:rPr>
          <w:i/>
          <w:iCs/>
        </w:rPr>
        <w:t>3SC Project</w:t>
      </w:r>
      <w:r w:rsidR="004827BD">
        <w:t>, although such information has informed our investigation of commissioning relationships within the six case study sites selected for detailed investigation.</w:t>
      </w:r>
    </w:p>
    <w:p w14:paraId="3F165928" w14:textId="498D3FE3" w:rsidR="001411B6" w:rsidRPr="001411B6" w:rsidRDefault="001411B6" w:rsidP="003E6FBC">
      <w:pPr>
        <w:pStyle w:val="Heading1"/>
      </w:pPr>
      <w:bookmarkStart w:id="40" w:name="_Ref126522158"/>
      <w:bookmarkStart w:id="41" w:name="_Toc127795209"/>
      <w:r w:rsidRPr="00163C07">
        <w:t xml:space="preserve">CCG Variation in </w:t>
      </w:r>
      <w:r w:rsidR="005C6BAD">
        <w:t>Spending</w:t>
      </w:r>
      <w:r w:rsidRPr="00163C07">
        <w:t xml:space="preserve"> on VCSE Suppliers</w:t>
      </w:r>
      <w:bookmarkEnd w:id="40"/>
      <w:bookmarkEnd w:id="41"/>
    </w:p>
    <w:p w14:paraId="07D79E81" w14:textId="4900FAC8" w:rsidR="00C44A98" w:rsidRDefault="00C44A98" w:rsidP="00C44A98">
      <w:pPr>
        <w:pStyle w:val="BodyText"/>
      </w:pPr>
      <w:r>
        <w:t>The selection of the study sites aimed to capture a ‘maximum-variety’ of CCGs in terms of their engagement with VCSEs</w:t>
      </w:r>
      <w:r w:rsidR="00F80E60">
        <w:t>, although s</w:t>
      </w:r>
      <w:r>
        <w:t>econdary criteria included</w:t>
      </w:r>
      <w:r w:rsidR="00522B2C">
        <w:t xml:space="preserve"> capturing, as far as possible,</w:t>
      </w:r>
      <w:r>
        <w:t xml:space="preserve"> </w:t>
      </w:r>
      <w:r w:rsidR="00522B2C">
        <w:t xml:space="preserve">a range of </w:t>
      </w:r>
      <w:r>
        <w:t xml:space="preserve">CCG budget sizes, urban/rural contrasts, diversity in terms of ethnic composition and deprivation, as well as commissioning arrangements (i.e. </w:t>
      </w:r>
      <w:r w:rsidR="005C6BAD">
        <w:t xml:space="preserve">the </w:t>
      </w:r>
      <w:r>
        <w:t>different ways in which CCGs coordinated with other NHS bodies and local authorities).</w:t>
      </w:r>
    </w:p>
    <w:p w14:paraId="6A692B43" w14:textId="45F9B062" w:rsidR="00292D0A" w:rsidRDefault="00F80E60" w:rsidP="00455569">
      <w:pPr>
        <w:pStyle w:val="BodyText"/>
      </w:pPr>
      <w:r>
        <w:t xml:space="preserve">Understanding how expenditure on VCSEs varies between CCGs is thus crucial, and this reflects what may constitute two quite separate processes: first, the extent to which different CCGs </w:t>
      </w:r>
      <w:r w:rsidR="00163C07">
        <w:t>we</w:t>
      </w:r>
      <w:r>
        <w:t xml:space="preserve">re willing to commission non-NHS/LA organisations (whether corporate or VCSE), and second, having ‘contracted-out’ </w:t>
      </w:r>
      <w:r w:rsidR="005C6BAD">
        <w:t xml:space="preserve">certain </w:t>
      </w:r>
      <w:r w:rsidR="00163C07">
        <w:t xml:space="preserve">health </w:t>
      </w:r>
      <w:r w:rsidR="00351778">
        <w:t xml:space="preserve">and </w:t>
      </w:r>
      <w:r w:rsidR="00163C07">
        <w:t xml:space="preserve">care </w:t>
      </w:r>
      <w:r>
        <w:t xml:space="preserve">activities, the extent to which </w:t>
      </w:r>
      <w:r w:rsidR="005C6BAD">
        <w:t>CCG</w:t>
      </w:r>
      <w:r>
        <w:t xml:space="preserve"> </w:t>
      </w:r>
      <w:r w:rsidR="00522B2C">
        <w:t xml:space="preserve">then </w:t>
      </w:r>
      <w:r>
        <w:t>chose to commission VCSEs.</w:t>
      </w:r>
    </w:p>
    <w:p w14:paraId="647CFDB7" w14:textId="4D4E705F" w:rsidR="00351778" w:rsidRDefault="00E31C7A" w:rsidP="00351778">
      <w:pPr>
        <w:pStyle w:val="BodyText"/>
      </w:pPr>
      <w:r>
        <w:t xml:space="preserve">With regard to the former there is, as illustrated by </w:t>
      </w:r>
      <w:r>
        <w:fldChar w:fldCharType="begin"/>
      </w:r>
      <w:r>
        <w:instrText xml:space="preserve"> REF _Ref126414974 \h </w:instrText>
      </w:r>
      <w:r>
        <w:fldChar w:fldCharType="separate"/>
      </w:r>
      <w:r w:rsidR="00842C06">
        <w:t xml:space="preserve">Figure </w:t>
      </w:r>
      <w:r w:rsidR="00842C06">
        <w:rPr>
          <w:noProof/>
        </w:rPr>
        <w:t>6</w:t>
      </w:r>
      <w:r>
        <w:fldChar w:fldCharType="end"/>
      </w:r>
      <w:r>
        <w:t>, huge variation</w:t>
      </w:r>
      <w:r w:rsidR="00351778">
        <w:t xml:space="preserve"> in the proportion of </w:t>
      </w:r>
      <w:r w:rsidR="00E53C0C">
        <w:t xml:space="preserve">CCG spending on </w:t>
      </w:r>
      <w:r w:rsidR="00351778">
        <w:t xml:space="preserve">non-NHS/LA </w:t>
      </w:r>
      <w:r w:rsidR="00E53C0C">
        <w:t>suppliers</w:t>
      </w:r>
      <w:r>
        <w:t xml:space="preserve">; from </w:t>
      </w:r>
      <w:r w:rsidR="00663B68">
        <w:t>47.3</w:t>
      </w:r>
      <w:r w:rsidR="00351778">
        <w:t xml:space="preserve">% </w:t>
      </w:r>
      <w:r w:rsidR="00663B68">
        <w:t>(</w:t>
      </w:r>
      <w:r w:rsidR="00351778" w:rsidRPr="00B707D0">
        <w:t>East Staffordshire</w:t>
      </w:r>
      <w:r w:rsidR="00663B68">
        <w:t>) to just 1.</w:t>
      </w:r>
      <w:r w:rsidR="0040432D">
        <w:t>4</w:t>
      </w:r>
      <w:r w:rsidR="00663B68">
        <w:t>% (</w:t>
      </w:r>
      <w:r w:rsidR="00351778">
        <w:t xml:space="preserve">Crawley). There may, as illustrated by </w:t>
      </w:r>
      <w:r w:rsidR="00351778">
        <w:fldChar w:fldCharType="begin"/>
      </w:r>
      <w:r w:rsidR="00351778">
        <w:instrText xml:space="preserve"> REF _Ref126415720 \h </w:instrText>
      </w:r>
      <w:r w:rsidR="00351778">
        <w:fldChar w:fldCharType="separate"/>
      </w:r>
      <w:r w:rsidR="00842C06" w:rsidRPr="00E31C7A">
        <w:t xml:space="preserve">Figure </w:t>
      </w:r>
      <w:r w:rsidR="00842C06">
        <w:rPr>
          <w:noProof/>
        </w:rPr>
        <w:t>7</w:t>
      </w:r>
      <w:r w:rsidR="00351778">
        <w:fldChar w:fldCharType="end"/>
      </w:r>
      <w:r w:rsidR="00351778">
        <w:t xml:space="preserve">, be some geographical concentration </w:t>
      </w:r>
      <w:r w:rsidR="005C6BAD">
        <w:t xml:space="preserve">in the use of non-NHS/LA suppliers </w:t>
      </w:r>
      <w:r w:rsidR="00663B68">
        <w:t xml:space="preserve">in </w:t>
      </w:r>
      <w:r w:rsidR="00351778">
        <w:t>Eastern England north and south of The Wash</w:t>
      </w:r>
      <w:r w:rsidR="00663B68">
        <w:t xml:space="preserve"> </w:t>
      </w:r>
      <w:r w:rsidR="00E53C0C">
        <w:t xml:space="preserve">as well as in </w:t>
      </w:r>
      <w:r w:rsidR="00663B68">
        <w:t>the North West Midlands</w:t>
      </w:r>
      <w:r w:rsidR="00E53C0C">
        <w:t xml:space="preserve">. The regional tendency is not, however, pronounced and, with </w:t>
      </w:r>
      <w:r w:rsidR="005C6BAD">
        <w:t xml:space="preserve">CCGs </w:t>
      </w:r>
      <w:r w:rsidR="00E53C0C">
        <w:t xml:space="preserve">exhibiting </w:t>
      </w:r>
      <w:r w:rsidR="005C6BAD">
        <w:t>high and low contracting</w:t>
      </w:r>
      <w:r w:rsidR="00E53C0C">
        <w:t xml:space="preserve">-out </w:t>
      </w:r>
      <w:r w:rsidR="00522B2C">
        <w:t xml:space="preserve">rates </w:t>
      </w:r>
      <w:r w:rsidR="005C6BAD">
        <w:t>often being coterminous</w:t>
      </w:r>
      <w:r w:rsidR="00E53C0C">
        <w:t>,</w:t>
      </w:r>
      <w:r w:rsidR="00663B68">
        <w:t xml:space="preserve"> </w:t>
      </w:r>
      <w:r w:rsidR="00E53C0C">
        <w:t xml:space="preserve">the use of </w:t>
      </w:r>
      <w:r w:rsidR="00663B68">
        <w:t>non-NHS/LA suppliers does appear to be a local CCG decision</w:t>
      </w:r>
      <w:r w:rsidR="00E53C0C">
        <w:t>.</w:t>
      </w:r>
    </w:p>
    <w:p w14:paraId="73508AFF" w14:textId="77777777" w:rsidR="00163C07" w:rsidRDefault="00163C07" w:rsidP="00455569">
      <w:pPr>
        <w:pStyle w:val="BodyText"/>
      </w:pPr>
    </w:p>
    <w:p w14:paraId="585A8930" w14:textId="77777777" w:rsidR="00163C07" w:rsidRDefault="000E084B" w:rsidP="00163C07">
      <w:pPr>
        <w:pStyle w:val="BodyText"/>
        <w:keepNext/>
      </w:pPr>
      <w:r>
        <w:rPr>
          <w:noProof/>
        </w:rPr>
        <w:lastRenderedPageBreak/>
        <w:drawing>
          <wp:inline distT="0" distB="0" distL="0" distR="0" wp14:anchorId="6243A6B8" wp14:editId="2997F092">
            <wp:extent cx="5731510" cy="2148205"/>
            <wp:effectExtent l="0" t="0" r="254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348234F3" w14:textId="30A34FE3" w:rsidR="00292D0A" w:rsidRDefault="00163C07" w:rsidP="00E31C7A">
      <w:pPr>
        <w:pStyle w:val="FigureCaption"/>
        <w:rPr>
          <w:noProof/>
        </w:rPr>
      </w:pPr>
      <w:bookmarkStart w:id="42" w:name="_Ref126414974"/>
      <w:bookmarkStart w:id="43" w:name="_Toc127795237"/>
      <w:r>
        <w:t xml:space="preserve">Figure </w:t>
      </w:r>
      <w:fldSimple w:instr=" SEQ Figure \* ARABIC ">
        <w:r w:rsidR="006118DB">
          <w:rPr>
            <w:noProof/>
          </w:rPr>
          <w:t>6</w:t>
        </w:r>
      </w:fldSimple>
      <w:bookmarkEnd w:id="42"/>
      <w:r>
        <w:t xml:space="preserve">: </w:t>
      </w:r>
      <w:bookmarkStart w:id="44" w:name="_Hlk126414667"/>
      <w:r>
        <w:t xml:space="preserve">Relative Split of </w:t>
      </w:r>
      <w:r>
        <w:rPr>
          <w:noProof/>
        </w:rPr>
        <w:t>CCG spending on NHS/LA and other suppliers</w:t>
      </w:r>
      <w:bookmarkEnd w:id="43"/>
      <w:bookmarkEnd w:id="44"/>
    </w:p>
    <w:p w14:paraId="07330227" w14:textId="77777777" w:rsidR="00E31C7A" w:rsidRPr="00E31C7A" w:rsidRDefault="00E31C7A" w:rsidP="009A3959">
      <w:pPr>
        <w:pStyle w:val="AfterTableGap"/>
      </w:pPr>
    </w:p>
    <w:p w14:paraId="65516B67" w14:textId="77777777" w:rsidR="00163C07" w:rsidRDefault="00D247E1" w:rsidP="00E31C7A">
      <w:pPr>
        <w:pStyle w:val="BodyText"/>
        <w:keepNext/>
        <w:jc w:val="center"/>
      </w:pPr>
      <w:r>
        <w:rPr>
          <w:noProof/>
        </w:rPr>
        <w:drawing>
          <wp:inline distT="0" distB="0" distL="0" distR="0" wp14:anchorId="33E84EA6" wp14:editId="3BA116CE">
            <wp:extent cx="4422904" cy="5400000"/>
            <wp:effectExtent l="0" t="0" r="0" b="0"/>
            <wp:docPr id="12" name="Picture 1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ap&#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22904" cy="5400000"/>
                    </a:xfrm>
                    <a:prstGeom prst="rect">
                      <a:avLst/>
                    </a:prstGeom>
                  </pic:spPr>
                </pic:pic>
              </a:graphicData>
            </a:graphic>
          </wp:inline>
        </w:drawing>
      </w:r>
    </w:p>
    <w:p w14:paraId="5EE0BFE1" w14:textId="2D0E3378" w:rsidR="00D247E1" w:rsidRPr="00E31C7A" w:rsidRDefault="00163C07" w:rsidP="00E31C7A">
      <w:pPr>
        <w:pStyle w:val="FigureCaption"/>
      </w:pPr>
      <w:bookmarkStart w:id="45" w:name="_Ref126415720"/>
      <w:bookmarkStart w:id="46" w:name="_Toc127795238"/>
      <w:r w:rsidRPr="00E31C7A">
        <w:t xml:space="preserve">Figure </w:t>
      </w:r>
      <w:fldSimple w:instr=" SEQ Figure \* ARABIC ">
        <w:r w:rsidR="006118DB">
          <w:rPr>
            <w:noProof/>
          </w:rPr>
          <w:t>7</w:t>
        </w:r>
      </w:fldSimple>
      <w:bookmarkEnd w:id="45"/>
      <w:r w:rsidRPr="00E31C7A">
        <w:t xml:space="preserve">: </w:t>
      </w:r>
      <w:r w:rsidR="00E31C7A" w:rsidRPr="00E31C7A">
        <w:t>Map of r</w:t>
      </w:r>
      <w:r w:rsidRPr="00E31C7A">
        <w:t xml:space="preserve">elative </w:t>
      </w:r>
      <w:r w:rsidR="00E31C7A" w:rsidRPr="00E31C7A">
        <w:t>s</w:t>
      </w:r>
      <w:r w:rsidRPr="00E31C7A">
        <w:t>plit of CCG spending on NHS/LA and other suppliers</w:t>
      </w:r>
      <w:bookmarkEnd w:id="46"/>
    </w:p>
    <w:p w14:paraId="4C5B7A47" w14:textId="15E3B1C2" w:rsidR="00E31C7A" w:rsidRDefault="006F700B" w:rsidP="00F80E60">
      <w:pPr>
        <w:pStyle w:val="BodyText"/>
      </w:pPr>
      <w:r>
        <w:lastRenderedPageBreak/>
        <w:t xml:space="preserve">The extent to which CCGs then direct any non-NHS/LA expenditure towards VCSEs also varies hugely, as illustrated by </w:t>
      </w:r>
      <w:r>
        <w:fldChar w:fldCharType="begin"/>
      </w:r>
      <w:r>
        <w:instrText xml:space="preserve"> REF _Ref126416739 \h </w:instrText>
      </w:r>
      <w:r>
        <w:fldChar w:fldCharType="separate"/>
      </w:r>
      <w:r w:rsidR="00842C06">
        <w:t xml:space="preserve">Figure </w:t>
      </w:r>
      <w:r w:rsidR="00842C06">
        <w:rPr>
          <w:noProof/>
        </w:rPr>
        <w:t>8</w:t>
      </w:r>
      <w:r>
        <w:fldChar w:fldCharType="end"/>
      </w:r>
      <w:r>
        <w:t xml:space="preserve"> (which shows VCSE spend relative to both </w:t>
      </w:r>
      <w:r w:rsidR="002E2D59">
        <w:t xml:space="preserve">(a) </w:t>
      </w:r>
      <w:r>
        <w:t xml:space="preserve">NHS/LA and </w:t>
      </w:r>
      <w:r w:rsidR="002E2D59">
        <w:t xml:space="preserve">(b) </w:t>
      </w:r>
      <w:r>
        <w:t xml:space="preserve">non-NHS/LA non-VCSE spend) and </w:t>
      </w:r>
      <w:r w:rsidR="006118DB">
        <w:fldChar w:fldCharType="begin"/>
      </w:r>
      <w:r w:rsidR="006118DB">
        <w:instrText xml:space="preserve"> REF _Ref126851529 \h </w:instrText>
      </w:r>
      <w:r w:rsidR="006118DB">
        <w:fldChar w:fldCharType="separate"/>
      </w:r>
      <w:r w:rsidR="006118DB">
        <w:t xml:space="preserve">Figure </w:t>
      </w:r>
      <w:r w:rsidR="006118DB">
        <w:rPr>
          <w:noProof/>
        </w:rPr>
        <w:t>9</w:t>
      </w:r>
      <w:r w:rsidR="006118DB">
        <w:fldChar w:fldCharType="end"/>
      </w:r>
      <w:r w:rsidR="006118DB">
        <w:t xml:space="preserve"> </w:t>
      </w:r>
      <w:r>
        <w:t xml:space="preserve">(which focuses on the split of non-NHS/LA spend between VCSE and non-VCSE suppliers). </w:t>
      </w:r>
    </w:p>
    <w:p w14:paraId="5409BB63" w14:textId="77777777" w:rsidR="006F700B" w:rsidRDefault="002D7F71" w:rsidP="006F700B">
      <w:pPr>
        <w:pStyle w:val="BodyText"/>
        <w:keepNext/>
      </w:pPr>
      <w:r>
        <w:rPr>
          <w:noProof/>
        </w:rPr>
        <w:drawing>
          <wp:inline distT="0" distB="0" distL="0" distR="0" wp14:anchorId="065283D7" wp14:editId="06BB0AD2">
            <wp:extent cx="5731510" cy="2148205"/>
            <wp:effectExtent l="0" t="0" r="2540" b="444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386E5FA9" w14:textId="6ED37190" w:rsidR="002D7F71" w:rsidRDefault="006F700B" w:rsidP="006F700B">
      <w:pPr>
        <w:pStyle w:val="FigureCaption"/>
      </w:pPr>
      <w:bookmarkStart w:id="47" w:name="_Ref126416739"/>
      <w:bookmarkStart w:id="48" w:name="_Toc127795239"/>
      <w:r>
        <w:t xml:space="preserve">Figure </w:t>
      </w:r>
      <w:fldSimple w:instr=" SEQ Figure \* ARABIC ">
        <w:r w:rsidR="006118DB">
          <w:rPr>
            <w:noProof/>
          </w:rPr>
          <w:t>8</w:t>
        </w:r>
      </w:fldSimple>
      <w:bookmarkEnd w:id="47"/>
      <w:r>
        <w:t xml:space="preserve">: </w:t>
      </w:r>
      <w:r w:rsidR="002E2D59">
        <w:t>Relative split between NHS/LA, VCSE and other suppliers</w:t>
      </w:r>
      <w:bookmarkEnd w:id="48"/>
    </w:p>
    <w:p w14:paraId="05B9D022" w14:textId="77777777" w:rsidR="006118DB" w:rsidRDefault="006118DB" w:rsidP="006118DB">
      <w:pPr>
        <w:pStyle w:val="AfterTableGap"/>
        <w:keepNext/>
      </w:pPr>
      <w:r>
        <w:rPr>
          <w:noProof/>
        </w:rPr>
        <w:drawing>
          <wp:inline distT="0" distB="0" distL="0" distR="0" wp14:anchorId="279CB660" wp14:editId="212BF5DC">
            <wp:extent cx="5731510" cy="2148205"/>
            <wp:effectExtent l="0" t="0" r="2540" b="444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32E3CB2A" w14:textId="33482A5F" w:rsidR="009A3959" w:rsidRDefault="006118DB" w:rsidP="006118DB">
      <w:pPr>
        <w:pStyle w:val="FigureCaption"/>
      </w:pPr>
      <w:bookmarkStart w:id="49" w:name="_Ref126851529"/>
      <w:bookmarkStart w:id="50" w:name="_Toc127795240"/>
      <w:r>
        <w:t xml:space="preserve">Figure </w:t>
      </w:r>
      <w:fldSimple w:instr=" SEQ Figure \* ARABIC ">
        <w:r>
          <w:rPr>
            <w:noProof/>
          </w:rPr>
          <w:t>9</w:t>
        </w:r>
      </w:fldSimple>
      <w:bookmarkEnd w:id="49"/>
      <w:r>
        <w:t xml:space="preserve">: </w:t>
      </w:r>
      <w:r w:rsidRPr="009B79C2">
        <w:t>Relative split of non-NHS/LA spend between VCSE and non-VCSE suppliers</w:t>
      </w:r>
      <w:bookmarkEnd w:id="50"/>
    </w:p>
    <w:p w14:paraId="7FFCA2AD" w14:textId="584F0326" w:rsidR="0017662F" w:rsidRDefault="00D04523" w:rsidP="00455569">
      <w:pPr>
        <w:pStyle w:val="BodyText"/>
      </w:pPr>
      <w:r>
        <w:t xml:space="preserve">The proportion of non-NHS/LA CCG expenditure directed to VCSEs thus varies from 69.2% and 68.3% in Greater Huddersfield and North East Lincolnshire respectively, to less than 1% in Portsmouth, Wyre Forest, </w:t>
      </w:r>
      <w:r w:rsidR="0040432D">
        <w:t xml:space="preserve">and </w:t>
      </w:r>
      <w:r>
        <w:t xml:space="preserve">Fareham &amp; Gosport CCGs.  Full details are available on the project </w:t>
      </w:r>
      <w:r w:rsidRPr="00D04523">
        <w:rPr>
          <w:i/>
          <w:iCs/>
        </w:rPr>
        <w:t>github</w:t>
      </w:r>
      <w:r>
        <w:t xml:space="preserve"> site (see </w:t>
      </w:r>
      <w:r w:rsidRPr="00D04523">
        <w:rPr>
          <w:i/>
          <w:iCs/>
        </w:rPr>
        <w:t>CCGSpendingSplit.csv</w:t>
      </w:r>
      <w:r>
        <w:t>).</w:t>
      </w:r>
    </w:p>
    <w:p w14:paraId="1DB1FCC5" w14:textId="72E7B356" w:rsidR="00275D9A" w:rsidRDefault="00D04523" w:rsidP="00275D9A">
      <w:pPr>
        <w:pStyle w:val="BodyText"/>
      </w:pPr>
      <w:r>
        <w:t xml:space="preserve">As illustrated by </w:t>
      </w:r>
      <w:r>
        <w:fldChar w:fldCharType="begin"/>
      </w:r>
      <w:r>
        <w:instrText xml:space="preserve"> REF _Ref126418317 \h </w:instrText>
      </w:r>
      <w:r>
        <w:fldChar w:fldCharType="separate"/>
      </w:r>
      <w:r w:rsidR="00842C06">
        <w:t xml:space="preserve">Figure </w:t>
      </w:r>
      <w:r w:rsidR="00842C06">
        <w:rPr>
          <w:noProof/>
        </w:rPr>
        <w:t>10</w:t>
      </w:r>
      <w:r>
        <w:fldChar w:fldCharType="end"/>
      </w:r>
      <w:r>
        <w:t xml:space="preserve">, there is some </w:t>
      </w:r>
      <w:r w:rsidR="00385629">
        <w:t>suggestion</w:t>
      </w:r>
      <w:r>
        <w:t xml:space="preserve"> of </w:t>
      </w:r>
      <w:r w:rsidR="0020733C">
        <w:t xml:space="preserve">a </w:t>
      </w:r>
      <w:r w:rsidR="00385629">
        <w:t xml:space="preserve">regional </w:t>
      </w:r>
      <w:r w:rsidR="0020733C">
        <w:t xml:space="preserve">pattern in VCSE commissioning </w:t>
      </w:r>
      <w:r w:rsidR="00385629">
        <w:t>although</w:t>
      </w:r>
      <w:r w:rsidR="0020733C">
        <w:t>,</w:t>
      </w:r>
      <w:r w:rsidR="00385629">
        <w:t xml:space="preserve"> </w:t>
      </w:r>
      <w:r w:rsidR="0020733C">
        <w:t xml:space="preserve">as </w:t>
      </w:r>
      <w:r w:rsidR="00385629">
        <w:t>CCGs exhibiting high- and low-VCSE engagement are often coterminous</w:t>
      </w:r>
      <w:r w:rsidR="0020733C">
        <w:t>, t</w:t>
      </w:r>
      <w:r w:rsidR="00385629">
        <w:t xml:space="preserve">he use of VCSEs by different CCGs </w:t>
      </w:r>
      <w:r w:rsidR="0020733C">
        <w:t xml:space="preserve">most </w:t>
      </w:r>
      <w:r w:rsidR="00CF3228">
        <w:t xml:space="preserve">likely </w:t>
      </w:r>
      <w:r w:rsidR="00385629">
        <w:t>reflect</w:t>
      </w:r>
      <w:r w:rsidR="0020733C">
        <w:t>s</w:t>
      </w:r>
      <w:r w:rsidR="00275D9A">
        <w:t xml:space="preserve"> predominately </w:t>
      </w:r>
      <w:r w:rsidR="00385629">
        <w:t xml:space="preserve">local </w:t>
      </w:r>
      <w:r w:rsidR="00CF3228">
        <w:t xml:space="preserve">rather than regional </w:t>
      </w:r>
      <w:r w:rsidR="00385629">
        <w:t>factors</w:t>
      </w:r>
      <w:r w:rsidR="00275D9A">
        <w:t>.</w:t>
      </w:r>
    </w:p>
    <w:p w14:paraId="0164119F" w14:textId="77777777" w:rsidR="00D04523" w:rsidRDefault="00773048" w:rsidP="00D04523">
      <w:pPr>
        <w:pStyle w:val="BodyText"/>
        <w:keepNext/>
        <w:jc w:val="center"/>
      </w:pPr>
      <w:r>
        <w:rPr>
          <w:noProof/>
        </w:rPr>
        <w:lastRenderedPageBreak/>
        <w:drawing>
          <wp:inline distT="0" distB="0" distL="0" distR="0" wp14:anchorId="0286559A" wp14:editId="62E5AC5B">
            <wp:extent cx="4422904" cy="5400000"/>
            <wp:effectExtent l="0" t="0" r="0" b="0"/>
            <wp:docPr id="11" name="Picture 1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ap&#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22904" cy="5400000"/>
                    </a:xfrm>
                    <a:prstGeom prst="rect">
                      <a:avLst/>
                    </a:prstGeom>
                  </pic:spPr>
                </pic:pic>
              </a:graphicData>
            </a:graphic>
          </wp:inline>
        </w:drawing>
      </w:r>
    </w:p>
    <w:p w14:paraId="3194C84B" w14:textId="27774B42" w:rsidR="00773048" w:rsidRDefault="00D04523" w:rsidP="00D04523">
      <w:pPr>
        <w:pStyle w:val="FigureCaption"/>
      </w:pPr>
      <w:bookmarkStart w:id="51" w:name="_Ref126418317"/>
      <w:bookmarkStart w:id="52" w:name="_Toc127795241"/>
      <w:r>
        <w:t xml:space="preserve">Figure </w:t>
      </w:r>
      <w:fldSimple w:instr=" SEQ Figure \* ARABIC ">
        <w:r w:rsidR="006118DB">
          <w:rPr>
            <w:noProof/>
          </w:rPr>
          <w:t>10</w:t>
        </w:r>
      </w:fldSimple>
      <w:bookmarkEnd w:id="51"/>
      <w:r>
        <w:t>: Map of r</w:t>
      </w:r>
      <w:r w:rsidRPr="002E48EE">
        <w:t xml:space="preserve">elative split of non-NHS/LA spend between VCSE </w:t>
      </w:r>
      <w:r>
        <w:t>&amp;</w:t>
      </w:r>
      <w:r w:rsidRPr="002E48EE">
        <w:t xml:space="preserve"> non-VCSE suppliers</w:t>
      </w:r>
      <w:bookmarkEnd w:id="52"/>
    </w:p>
    <w:p w14:paraId="0D2AFD8E" w14:textId="3E9A234F" w:rsidR="00385629" w:rsidRDefault="00275D9A" w:rsidP="0064527F">
      <w:pPr>
        <w:pStyle w:val="BodyText"/>
      </w:pPr>
      <w:r>
        <w:t>This split between VCSE and non-VCSE suppliers could have been used as the basis for identifying a ‘</w:t>
      </w:r>
      <w:r w:rsidR="00385629">
        <w:t>maximum-diversity</w:t>
      </w:r>
      <w:r>
        <w:t>’</w:t>
      </w:r>
      <w:r w:rsidR="00385629">
        <w:t xml:space="preserve"> selection </w:t>
      </w:r>
      <w:r>
        <w:t xml:space="preserve">of case studies, but the </w:t>
      </w:r>
      <w:r w:rsidRPr="00275D9A">
        <w:rPr>
          <w:i/>
          <w:iCs/>
        </w:rPr>
        <w:t>relative</w:t>
      </w:r>
      <w:r>
        <w:t xml:space="preserve"> split doesn’t say anything about the </w:t>
      </w:r>
      <w:r w:rsidR="00385629">
        <w:t xml:space="preserve">absolute level of VCSE engagement </w:t>
      </w:r>
      <w:r>
        <w:t>in different CCGs. For this the two obvious criteria are (a) the percent of overall CCG spending on VCSE suppliers (</w:t>
      </w:r>
      <w:r w:rsidR="008F601B">
        <w:fldChar w:fldCharType="begin"/>
      </w:r>
      <w:r w:rsidR="008F601B">
        <w:instrText xml:space="preserve"> REF _Ref126453864 \h </w:instrText>
      </w:r>
      <w:r w:rsidR="008F601B">
        <w:fldChar w:fldCharType="separate"/>
      </w:r>
      <w:r w:rsidR="00842C06">
        <w:t xml:space="preserve">Figure </w:t>
      </w:r>
      <w:r w:rsidR="00842C06">
        <w:rPr>
          <w:noProof/>
        </w:rPr>
        <w:t>11</w:t>
      </w:r>
      <w:r w:rsidR="008F601B">
        <w:fldChar w:fldCharType="end"/>
      </w:r>
      <w:r w:rsidR="008F601B">
        <w:t xml:space="preserve">) </w:t>
      </w:r>
      <w:r w:rsidR="0020733C">
        <w:t>or</w:t>
      </w:r>
      <w:r w:rsidR="008F601B">
        <w:t xml:space="preserve"> (b) per capita CCG spending on VCSE suppliers (</w:t>
      </w:r>
      <w:r w:rsidR="008F601B">
        <w:fldChar w:fldCharType="begin"/>
      </w:r>
      <w:r w:rsidR="008F601B">
        <w:instrText xml:space="preserve"> REF _Ref126453987 \h </w:instrText>
      </w:r>
      <w:r w:rsidR="008F601B">
        <w:fldChar w:fldCharType="separate"/>
      </w:r>
      <w:r w:rsidR="00842C06">
        <w:t xml:space="preserve">Figure </w:t>
      </w:r>
      <w:r w:rsidR="00842C06">
        <w:rPr>
          <w:noProof/>
        </w:rPr>
        <w:t>12</w:t>
      </w:r>
      <w:r w:rsidR="008F601B">
        <w:fldChar w:fldCharType="end"/>
      </w:r>
      <w:r w:rsidR="008F601B">
        <w:t xml:space="preserve">). The two are highly correlated but, as per capita spend provides the more explicit measure of the importance of VCSE suppliers to local health economies and the populations they serve, this was used to identify suitable case study sites for the </w:t>
      </w:r>
      <w:r w:rsidR="008F601B" w:rsidRPr="008F601B">
        <w:rPr>
          <w:i/>
          <w:iCs/>
        </w:rPr>
        <w:t>3SC Project</w:t>
      </w:r>
      <w:r w:rsidR="008F601B">
        <w:t>.</w:t>
      </w:r>
    </w:p>
    <w:p w14:paraId="2FEB36C8" w14:textId="77777777" w:rsidR="008F601B" w:rsidRDefault="00540BE8" w:rsidP="008F601B">
      <w:pPr>
        <w:pStyle w:val="BodyText"/>
        <w:keepNext/>
      </w:pPr>
      <w:r>
        <w:rPr>
          <w:noProof/>
        </w:rPr>
        <w:lastRenderedPageBreak/>
        <w:drawing>
          <wp:inline distT="0" distB="0" distL="0" distR="0" wp14:anchorId="1819B1C5" wp14:editId="2FDE524F">
            <wp:extent cx="5731510" cy="2148205"/>
            <wp:effectExtent l="0" t="0" r="2540" b="444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48762159" w14:textId="5A9AA29D" w:rsidR="00651597" w:rsidRDefault="008F601B" w:rsidP="008F601B">
      <w:pPr>
        <w:pStyle w:val="FigureCaption"/>
        <w:rPr>
          <w:noProof/>
        </w:rPr>
      </w:pPr>
      <w:bookmarkStart w:id="53" w:name="_Ref126453864"/>
      <w:bookmarkStart w:id="54" w:name="_Toc127795242"/>
      <w:r>
        <w:t xml:space="preserve">Figure </w:t>
      </w:r>
      <w:fldSimple w:instr=" SEQ Figure \* ARABIC ">
        <w:r w:rsidR="006118DB">
          <w:rPr>
            <w:noProof/>
          </w:rPr>
          <w:t>11</w:t>
        </w:r>
      </w:fldSimple>
      <w:bookmarkEnd w:id="53"/>
      <w:r>
        <w:t xml:space="preserve">: Percent Overall CCG Spending </w:t>
      </w:r>
      <w:r>
        <w:rPr>
          <w:noProof/>
        </w:rPr>
        <w:t>of VCSE Suppliers</w:t>
      </w:r>
      <w:bookmarkEnd w:id="54"/>
    </w:p>
    <w:p w14:paraId="3D7197D6" w14:textId="77777777" w:rsidR="009A3959" w:rsidRDefault="009A3959" w:rsidP="009A3959">
      <w:pPr>
        <w:pStyle w:val="AfterTableGap"/>
      </w:pPr>
    </w:p>
    <w:p w14:paraId="59AE0742" w14:textId="77777777" w:rsidR="008F601B" w:rsidRDefault="007875E0" w:rsidP="008F601B">
      <w:pPr>
        <w:pStyle w:val="BodyText"/>
        <w:keepNext/>
      </w:pPr>
      <w:r>
        <w:rPr>
          <w:noProof/>
        </w:rPr>
        <w:drawing>
          <wp:inline distT="0" distB="0" distL="0" distR="0" wp14:anchorId="50839DC1" wp14:editId="15F9D0D6">
            <wp:extent cx="5731510" cy="2148205"/>
            <wp:effectExtent l="0" t="0" r="2540" b="444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5F82A7E8" w14:textId="105DF22A" w:rsidR="00540BE8" w:rsidRDefault="008F601B" w:rsidP="008F601B">
      <w:pPr>
        <w:pStyle w:val="FigureCaption"/>
      </w:pPr>
      <w:bookmarkStart w:id="55" w:name="_Ref126453987"/>
      <w:bookmarkStart w:id="56" w:name="_Toc127795243"/>
      <w:r>
        <w:t xml:space="preserve">Figure </w:t>
      </w:r>
      <w:fldSimple w:instr=" SEQ Figure \* ARABIC ">
        <w:r w:rsidR="006118DB">
          <w:rPr>
            <w:noProof/>
          </w:rPr>
          <w:t>12</w:t>
        </w:r>
      </w:fldSimple>
      <w:bookmarkEnd w:id="55"/>
      <w:r>
        <w:t>: Per capita CCG Spending on VCSE suppliers</w:t>
      </w:r>
      <w:bookmarkEnd w:id="56"/>
    </w:p>
    <w:p w14:paraId="305B694B" w14:textId="77777777" w:rsidR="009A3959" w:rsidRDefault="009A3959" w:rsidP="009A3959">
      <w:pPr>
        <w:pStyle w:val="AfterTableGap"/>
      </w:pPr>
    </w:p>
    <w:p w14:paraId="36DB7C1C" w14:textId="71D31C05" w:rsidR="008F601B" w:rsidRPr="008F601B" w:rsidRDefault="008F601B" w:rsidP="003E6FBC">
      <w:pPr>
        <w:pStyle w:val="Heading1"/>
      </w:pPr>
      <w:bookmarkStart w:id="57" w:name="_Toc127795210"/>
      <w:r w:rsidRPr="008F601B">
        <w:t>Shortlisting Potential Study Sites</w:t>
      </w:r>
      <w:r w:rsidR="0020733C">
        <w:t xml:space="preserve"> for the 3SC Project</w:t>
      </w:r>
      <w:bookmarkEnd w:id="57"/>
    </w:p>
    <w:p w14:paraId="251470A1" w14:textId="77777777" w:rsidR="008B2FC9" w:rsidRDefault="008B03F6" w:rsidP="0064527F">
      <w:pPr>
        <w:pStyle w:val="BodyText"/>
      </w:pPr>
      <w:r>
        <w:t>Study site selection was t</w:t>
      </w:r>
      <w:r w:rsidR="00842C06">
        <w:t>hus</w:t>
      </w:r>
      <w:r>
        <w:t xml:space="preserve"> based on ranking </w:t>
      </w:r>
      <w:r w:rsidR="00842C06">
        <w:t xml:space="preserve">2018/19 </w:t>
      </w:r>
      <w:r>
        <w:t xml:space="preserve">CCGs in terms of per capita VCSE spend and then, </w:t>
      </w:r>
      <w:r w:rsidR="009A3959">
        <w:t>using</w:t>
      </w:r>
      <w:r>
        <w:t xml:space="preserve"> data </w:t>
      </w:r>
      <w:r w:rsidR="009A3959">
        <w:t xml:space="preserve">on </w:t>
      </w:r>
      <w:r>
        <w:t xml:space="preserve">the secondary selection criteria (budget size, urban/rural, ethnic composition, </w:t>
      </w:r>
      <w:proofErr w:type="gramStart"/>
      <w:r>
        <w:t>deprivation</w:t>
      </w:r>
      <w:proofErr w:type="gramEnd"/>
      <w:r>
        <w:t xml:space="preserve"> and broad commissioning arrangements), </w:t>
      </w:r>
      <w:r w:rsidR="00E5179F">
        <w:t xml:space="preserve">aiming for </w:t>
      </w:r>
      <w:r>
        <w:t>a short list of</w:t>
      </w:r>
      <w:r w:rsidR="004A69BD">
        <w:t xml:space="preserve"> </w:t>
      </w:r>
      <w:r w:rsidR="009A3959">
        <w:t>two preferred and one reserve</w:t>
      </w:r>
      <w:r>
        <w:t xml:space="preserve"> CCG </w:t>
      </w:r>
      <w:r w:rsidR="009A3959">
        <w:t xml:space="preserve">from each </w:t>
      </w:r>
      <w:r>
        <w:t xml:space="preserve">quartile.  </w:t>
      </w:r>
      <w:r w:rsidR="00835B69">
        <w:t xml:space="preserve">The </w:t>
      </w:r>
      <w:r w:rsidR="00835B69" w:rsidRPr="00835B69">
        <w:rPr>
          <w:i/>
          <w:iCs/>
        </w:rPr>
        <w:t>3SC Project</w:t>
      </w:r>
      <w:r w:rsidR="00835B69">
        <w:t xml:space="preserve"> team then </w:t>
      </w:r>
      <w:r w:rsidR="008B2FC9">
        <w:t xml:space="preserve">sought to recruit up to eight </w:t>
      </w:r>
      <w:r w:rsidR="00835B69">
        <w:t xml:space="preserve">CCGs </w:t>
      </w:r>
      <w:r w:rsidR="008B2FC9">
        <w:t xml:space="preserve">as case study sites. </w:t>
      </w:r>
    </w:p>
    <w:p w14:paraId="5D756266" w14:textId="346977D7" w:rsidR="008B03F6" w:rsidRDefault="009A3959" w:rsidP="0064527F">
      <w:pPr>
        <w:pStyle w:val="BodyText"/>
      </w:pPr>
      <w:r>
        <w:t xml:space="preserve">The overall distribution of short-listed CCGs is indicated in </w:t>
      </w:r>
      <w:r w:rsidR="00842C06">
        <w:fldChar w:fldCharType="begin"/>
      </w:r>
      <w:r w:rsidR="00842C06">
        <w:instrText xml:space="preserve"> REF _Ref126502718 \h </w:instrText>
      </w:r>
      <w:r w:rsidR="00842C06">
        <w:fldChar w:fldCharType="separate"/>
      </w:r>
      <w:r w:rsidR="00842C06">
        <w:t xml:space="preserve">Figure </w:t>
      </w:r>
      <w:r w:rsidR="00842C06">
        <w:rPr>
          <w:noProof/>
        </w:rPr>
        <w:t>13</w:t>
      </w:r>
      <w:r w:rsidR="00842C06">
        <w:fldChar w:fldCharType="end"/>
      </w:r>
      <w:r w:rsidR="00842C06">
        <w:t xml:space="preserve"> </w:t>
      </w:r>
      <w:r w:rsidR="00E5179F">
        <w:t>(</w:t>
      </w:r>
      <w:r>
        <w:t>where, to maintain study site anonymity, rank order po</w:t>
      </w:r>
      <w:r w:rsidR="008B2FC9">
        <w:t>si</w:t>
      </w:r>
      <w:r>
        <w:t>tion has been randomly ‘jittered’ by between +</w:t>
      </w:r>
      <w:r w:rsidR="008934E8">
        <w:t>3</w:t>
      </w:r>
      <w:r>
        <w:t xml:space="preserve"> &amp; -</w:t>
      </w:r>
      <w:r w:rsidR="008934E8">
        <w:t>3</w:t>
      </w:r>
      <w:r w:rsidR="00E5179F">
        <w:t>)</w:t>
      </w:r>
      <w:r>
        <w:t xml:space="preserve">.  </w:t>
      </w:r>
    </w:p>
    <w:p w14:paraId="5F192167" w14:textId="77777777" w:rsidR="00842C06" w:rsidRDefault="00842C06" w:rsidP="00842C06">
      <w:pPr>
        <w:pStyle w:val="BodyText"/>
        <w:keepNext/>
      </w:pPr>
      <w:r>
        <w:rPr>
          <w:noProof/>
        </w:rPr>
        <w:lastRenderedPageBreak/>
        <w:drawing>
          <wp:inline distT="0" distB="0" distL="0" distR="0" wp14:anchorId="6D4ADBFF" wp14:editId="3C8A5A7D">
            <wp:extent cx="5731510" cy="2148205"/>
            <wp:effectExtent l="0" t="0" r="2540" b="4445"/>
            <wp:docPr id="58" name="Picture 5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14296F82" w14:textId="04FA71C8" w:rsidR="00842C06" w:rsidRDefault="00842C06" w:rsidP="00842C06">
      <w:pPr>
        <w:pStyle w:val="FigureCaption"/>
      </w:pPr>
      <w:bookmarkStart w:id="58" w:name="_Ref126502718"/>
      <w:bookmarkStart w:id="59" w:name="_Toc127795244"/>
      <w:r>
        <w:t xml:space="preserve">Figure </w:t>
      </w:r>
      <w:fldSimple w:instr=" SEQ Figure \* ARABIC ">
        <w:r w:rsidR="006118DB">
          <w:rPr>
            <w:noProof/>
          </w:rPr>
          <w:t>13</w:t>
        </w:r>
      </w:fldSimple>
      <w:bookmarkEnd w:id="58"/>
      <w:r>
        <w:t xml:space="preserve">: </w:t>
      </w:r>
      <w:r w:rsidRPr="00024E23">
        <w:t>Short-list of potential case-study CCGs (points jittered to preserve anonymity)</w:t>
      </w:r>
      <w:bookmarkEnd w:id="59"/>
    </w:p>
    <w:p w14:paraId="0CB29F12" w14:textId="2766AF86" w:rsidR="00A75C7F" w:rsidRDefault="008B2FC9" w:rsidP="00A75C7F">
      <w:pPr>
        <w:pStyle w:val="BodyText"/>
      </w:pPr>
      <w:r>
        <w:t xml:space="preserve">The final distribution of case study sites depended partly on which CCGs were willing to collaborate, but also on the ongoing reorganisation of CCGs. </w:t>
      </w:r>
      <w:r w:rsidR="00832C73">
        <w:t>An important</w:t>
      </w:r>
      <w:r w:rsidR="00E5179F">
        <w:t xml:space="preserve"> practical difficulty was that by the time CCGs were approached </w:t>
      </w:r>
      <w:r w:rsidR="00EB56A9">
        <w:t xml:space="preserve">(in 2020) </w:t>
      </w:r>
      <w:r w:rsidR="00E5179F">
        <w:t xml:space="preserve">the number </w:t>
      </w:r>
      <w:r w:rsidR="00A75C7F">
        <w:t xml:space="preserve">of CCGs </w:t>
      </w:r>
      <w:r w:rsidR="00E5179F">
        <w:t xml:space="preserve">had fallen from </w:t>
      </w:r>
      <w:r w:rsidR="00A75C7F">
        <w:t xml:space="preserve">the </w:t>
      </w:r>
      <w:r w:rsidR="00E5179F">
        <w:t xml:space="preserve">195 </w:t>
      </w:r>
      <w:r w:rsidR="00EB56A9">
        <w:t xml:space="preserve">extant in 2018/19 </w:t>
      </w:r>
      <w:r w:rsidR="00A75C7F">
        <w:t xml:space="preserve">to just 135 – </w:t>
      </w:r>
      <w:r w:rsidR="00EB56A9">
        <w:t xml:space="preserve">and many of those on the shortlist had amalgamated with neighbouring CCGs. As a result the </w:t>
      </w:r>
      <w:r w:rsidR="00A75C7F">
        <w:t xml:space="preserve">final selection of </w:t>
      </w:r>
      <w:r w:rsidR="00EB56A9">
        <w:t>CCGs</w:t>
      </w:r>
      <w:r w:rsidR="00A75C7F" w:rsidRPr="00A75C7F">
        <w:t xml:space="preserve"> </w:t>
      </w:r>
      <w:r w:rsidR="00EB56A9">
        <w:t>is</w:t>
      </w:r>
      <w:r w:rsidR="00275965" w:rsidRPr="00275965">
        <w:t xml:space="preserve"> </w:t>
      </w:r>
      <w:r w:rsidR="00275965">
        <w:t>somewhat less evenly distributed than intended</w:t>
      </w:r>
      <w:r w:rsidR="00A75C7F">
        <w:t>, as illustrated in</w:t>
      </w:r>
      <w:r w:rsidR="00832C73">
        <w:t xml:space="preserve"> </w:t>
      </w:r>
      <w:r w:rsidR="0040432D">
        <w:fldChar w:fldCharType="begin"/>
      </w:r>
      <w:r w:rsidR="0040432D">
        <w:instrText xml:space="preserve"> REF _Ref127276693 \h </w:instrText>
      </w:r>
      <w:r w:rsidR="0040432D">
        <w:fldChar w:fldCharType="separate"/>
      </w:r>
      <w:r w:rsidR="0040432D">
        <w:t xml:space="preserve">Figure </w:t>
      </w:r>
      <w:r w:rsidR="0040432D">
        <w:rPr>
          <w:noProof/>
        </w:rPr>
        <w:t>14</w:t>
      </w:r>
      <w:r w:rsidR="0040432D">
        <w:fldChar w:fldCharType="end"/>
      </w:r>
      <w:r>
        <w:fldChar w:fldCharType="begin"/>
      </w:r>
      <w:r>
        <w:instrText xml:space="preserve"> REF _Ref126504842 \h </w:instrText>
      </w:r>
      <w:r w:rsidR="00000000">
        <w:fldChar w:fldCharType="separate"/>
      </w:r>
      <w:r>
        <w:fldChar w:fldCharType="end"/>
      </w:r>
      <w:r w:rsidR="00A75C7F">
        <w:t xml:space="preserve">.  </w:t>
      </w:r>
      <w:r w:rsidR="00EB56A9">
        <w:t xml:space="preserve"> </w:t>
      </w:r>
      <w:r>
        <w:t>T</w:t>
      </w:r>
      <w:r w:rsidR="00A75C7F">
        <w:t xml:space="preserve">he </w:t>
      </w:r>
      <w:r>
        <w:t xml:space="preserve">final selection nevertheless includes </w:t>
      </w:r>
      <w:r w:rsidR="00275965">
        <w:t xml:space="preserve">a wide variety of </w:t>
      </w:r>
      <w:r>
        <w:t>CCGs</w:t>
      </w:r>
      <w:r w:rsidR="00275965">
        <w:t>, from those</w:t>
      </w:r>
      <w:r>
        <w:t xml:space="preserve"> </w:t>
      </w:r>
      <w:r w:rsidR="00A75C7F">
        <w:t>likely to have complex, extensive and diverse commissioning relationships between healthcare commissioners and VCSEs</w:t>
      </w:r>
      <w:r w:rsidR="00275965">
        <w:t xml:space="preserve"> through to those which make relatively scant use of VCSE suppliers</w:t>
      </w:r>
      <w:r w:rsidR="00A75C7F">
        <w:t xml:space="preserve">. </w:t>
      </w:r>
    </w:p>
    <w:p w14:paraId="7C39D7AF" w14:textId="77777777" w:rsidR="00DF18BC" w:rsidRDefault="00DF18BC" w:rsidP="00DF18BC">
      <w:pPr>
        <w:pStyle w:val="BodyText"/>
        <w:keepNext/>
      </w:pPr>
      <w:r>
        <w:rPr>
          <w:noProof/>
        </w:rPr>
        <w:drawing>
          <wp:inline distT="0" distB="0" distL="0" distR="0" wp14:anchorId="18B4CF0F" wp14:editId="3B8FED59">
            <wp:extent cx="5731510" cy="2148205"/>
            <wp:effectExtent l="0" t="0" r="2540" b="4445"/>
            <wp:docPr id="60" name="Picture 6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2BA6A70D" w14:textId="05E2AF0F" w:rsidR="00DF18BC" w:rsidRDefault="00DF18BC" w:rsidP="00DF18BC">
      <w:pPr>
        <w:pStyle w:val="Caption"/>
        <w:jc w:val="both"/>
      </w:pPr>
      <w:bookmarkStart w:id="60" w:name="_Ref127276693"/>
      <w:bookmarkStart w:id="61" w:name="_Toc127795245"/>
      <w:r>
        <w:t xml:space="preserve">Figure </w:t>
      </w:r>
      <w:fldSimple w:instr=" SEQ Figure \* ARABIC ">
        <w:r w:rsidR="006118DB">
          <w:rPr>
            <w:noProof/>
          </w:rPr>
          <w:t>14</w:t>
        </w:r>
      </w:fldSimple>
      <w:bookmarkEnd w:id="60"/>
      <w:r>
        <w:t xml:space="preserve">: </w:t>
      </w:r>
      <w:r w:rsidRPr="00C02294">
        <w:t>Final distribution of case-study CCGs (points jittered to preserve anonymity)</w:t>
      </w:r>
      <w:bookmarkEnd w:id="61"/>
    </w:p>
    <w:p w14:paraId="04D59BB4" w14:textId="77777777" w:rsidR="00DF18BC" w:rsidRDefault="00DF18BC" w:rsidP="00292D0A">
      <w:pPr>
        <w:pStyle w:val="BodyText"/>
      </w:pPr>
    </w:p>
    <w:p w14:paraId="2D074AA8" w14:textId="5AFCE814" w:rsidR="00BE26AA" w:rsidRDefault="00DF18BC" w:rsidP="00BE26AA">
      <w:pPr>
        <w:pStyle w:val="BodyText"/>
      </w:pPr>
      <w:r>
        <w:t xml:space="preserve">Bespoke reports detailing what could be extracted from the 2018/19 CCG accounts were provided to, and discussed with, panels from each of the study sites.  </w:t>
      </w:r>
      <w:r w:rsidR="00275965">
        <w:t xml:space="preserve">Although these </w:t>
      </w:r>
      <w:r>
        <w:t xml:space="preserve">provided </w:t>
      </w:r>
      <w:r>
        <w:lastRenderedPageBreak/>
        <w:t xml:space="preserve">a useful point around which to discuss the volume and nature of VCSE commissioning in each CCG, they cannot be shared here as they would compromise the anonymity of the CCGs. </w:t>
      </w:r>
    </w:p>
    <w:p w14:paraId="67F0F7B2" w14:textId="5267F3AB" w:rsidR="009643EA" w:rsidRPr="003E6FBC" w:rsidRDefault="00D2442B" w:rsidP="003E6FBC">
      <w:pPr>
        <w:pStyle w:val="Heading1"/>
      </w:pPr>
      <w:bookmarkStart w:id="62" w:name="_Toc120452086"/>
      <w:bookmarkStart w:id="63" w:name="_Toc127795211"/>
      <w:r>
        <w:t xml:space="preserve">Improving the </w:t>
      </w:r>
      <w:r w:rsidR="00275965" w:rsidRPr="003E6FBC">
        <w:t xml:space="preserve">“Over-Threshold” </w:t>
      </w:r>
      <w:r>
        <w:t>e</w:t>
      </w:r>
      <w:r w:rsidR="00275965" w:rsidRPr="003E6FBC">
        <w:t xml:space="preserve">xpenditure </w:t>
      </w:r>
      <w:bookmarkEnd w:id="62"/>
      <w:r>
        <w:t>a</w:t>
      </w:r>
      <w:r w:rsidR="00275965" w:rsidRPr="003E6FBC">
        <w:t>ccounts</w:t>
      </w:r>
      <w:r w:rsidR="009643EA" w:rsidRPr="003E6FBC">
        <w:t xml:space="preserve"> </w:t>
      </w:r>
      <w:r>
        <w:t>for Health Service Research</w:t>
      </w:r>
      <w:bookmarkEnd w:id="63"/>
      <w:r>
        <w:t xml:space="preserve"> </w:t>
      </w:r>
    </w:p>
    <w:p w14:paraId="708A0FF2" w14:textId="1D661A56" w:rsidR="00A659B7" w:rsidRDefault="00275965" w:rsidP="00A659B7">
      <w:pPr>
        <w:pStyle w:val="BodyText"/>
      </w:pPr>
      <w:r>
        <w:t xml:space="preserve">As noted in the introduction, despite </w:t>
      </w:r>
      <w:r w:rsidR="00A659B7">
        <w:t xml:space="preserve">its obvious </w:t>
      </w:r>
      <w:r>
        <w:t xml:space="preserve">potential </w:t>
      </w:r>
      <w:r w:rsidR="00A659B7">
        <w:t xml:space="preserve">relatively little health service research has sought to utilise </w:t>
      </w:r>
      <w:r>
        <w:t xml:space="preserve">the “over-threshold” expenditure data collected by CCGs and NHS Trusts since 2013.  The </w:t>
      </w:r>
      <w:r w:rsidRPr="00275965">
        <w:rPr>
          <w:i/>
          <w:iCs/>
        </w:rPr>
        <w:t>NHS Spend Project</w:t>
      </w:r>
      <w:r>
        <w:t xml:space="preserve"> discussed in Section </w:t>
      </w:r>
      <w:r w:rsidR="00AB1D0E">
        <w:fldChar w:fldCharType="begin"/>
      </w:r>
      <w:r w:rsidR="00AB1D0E">
        <w:instrText xml:space="preserve"> REF _Ref126527408 \r \h </w:instrText>
      </w:r>
      <w:r w:rsidR="00AB1D0E">
        <w:fldChar w:fldCharType="separate"/>
      </w:r>
      <w:r w:rsidR="00AB1D0E">
        <w:t>4</w:t>
      </w:r>
      <w:r w:rsidR="00AB1D0E">
        <w:fldChar w:fldCharType="end"/>
      </w:r>
      <w:r w:rsidR="00AB1D0E">
        <w:t xml:space="preserve"> stands as a notable exception but, depending </w:t>
      </w:r>
      <w:r w:rsidR="00382239">
        <w:t xml:space="preserve">as it did </w:t>
      </w:r>
      <w:r w:rsidR="00AB1D0E">
        <w:t>almost entirely on automated data-scraping and name-matching</w:t>
      </w:r>
      <w:r w:rsidR="00382239">
        <w:t xml:space="preserve"> algorithms</w:t>
      </w:r>
      <w:r w:rsidR="00AB1D0E">
        <w:t xml:space="preserve">, it </w:t>
      </w:r>
      <w:r w:rsidR="00A659B7">
        <w:t xml:space="preserve">arguably serves </w:t>
      </w:r>
      <w:r w:rsidR="00AB1D0E">
        <w:t xml:space="preserve">to </w:t>
      </w:r>
      <w:r w:rsidR="00A659B7">
        <w:t xml:space="preserve">demonstrate </w:t>
      </w:r>
      <w:r w:rsidR="00382239">
        <w:t xml:space="preserve">that the expenditure data, at present, cannot </w:t>
      </w:r>
      <w:r w:rsidR="00A659B7">
        <w:t xml:space="preserve">adequately </w:t>
      </w:r>
      <w:r w:rsidR="00382239">
        <w:t xml:space="preserve">support such </w:t>
      </w:r>
      <w:r w:rsidR="00AB1D0E">
        <w:t>methods</w:t>
      </w:r>
      <w:r w:rsidR="00382239">
        <w:t>.</w:t>
      </w:r>
      <w:r w:rsidR="00AB1D0E">
        <w:t xml:space="preserve">  </w:t>
      </w:r>
      <w:r w:rsidR="00382239">
        <w:t>This represents a missed opportunity</w:t>
      </w:r>
      <w:r w:rsidR="00A659B7">
        <w:t>, not least because the problems largely lie with the implementation, rather than the ambition, of HM Treasury’s guidelines</w:t>
      </w:r>
      <w:r w:rsidR="00A659B7">
        <w:rPr>
          <w:rStyle w:val="FootnoteReference"/>
        </w:rPr>
        <w:footnoteReference w:id="19"/>
      </w:r>
      <w:r w:rsidR="00A659B7">
        <w:t xml:space="preserve">. We draw particular attention to the need to rigorously enforce the following: </w:t>
      </w:r>
    </w:p>
    <w:p w14:paraId="039E7DD7" w14:textId="49170A6F" w:rsidR="00A659B7" w:rsidRPr="00A659B7" w:rsidRDefault="00A659B7" w:rsidP="00A659B7">
      <w:pPr>
        <w:pStyle w:val="ListBullet"/>
      </w:pPr>
      <w:r>
        <w:t>The “over-threshold” accounts</w:t>
      </w:r>
      <w:r w:rsidRPr="00A659B7">
        <w:t xml:space="preserve"> must be published in csv format. The common practice of making files available in pdf format makes the </w:t>
      </w:r>
      <w:r>
        <w:t>accounts extremely difficult to use</w:t>
      </w:r>
      <w:r w:rsidRPr="00A659B7">
        <w:t>.</w:t>
      </w:r>
    </w:p>
    <w:p w14:paraId="3756169E" w14:textId="5CB17730" w:rsidR="00AB1D0E" w:rsidRDefault="00A659B7" w:rsidP="00A659B7">
      <w:pPr>
        <w:pStyle w:val="ListBullet"/>
      </w:pPr>
      <w:r>
        <w:t xml:space="preserve">The accounts must be made available using permanent </w:t>
      </w:r>
      <w:proofErr w:type="spellStart"/>
      <w:r w:rsidRPr="001F04D7">
        <w:rPr>
          <w:i/>
          <w:iCs/>
        </w:rPr>
        <w:t>url</w:t>
      </w:r>
      <w:proofErr w:type="spellEnd"/>
      <w:r>
        <w:t xml:space="preserve"> addresses to support the use of Reproducible Analytical Pipelines and ensure future availability. With the reorganisation of commissioners and ongoing churn of health providers – and resulting loss of </w:t>
      </w:r>
      <w:r w:rsidR="001F04D7">
        <w:t xml:space="preserve">both </w:t>
      </w:r>
      <w:r>
        <w:t xml:space="preserve">institutional memory and data – this requires that all accounts are submitted to </w:t>
      </w:r>
      <w:hyperlink r:id="rId27" w:history="1">
        <w:r w:rsidRPr="00B30C39">
          <w:rPr>
            <w:rStyle w:val="Hyperlink"/>
          </w:rPr>
          <w:t>www.data.gov.uk</w:t>
        </w:r>
      </w:hyperlink>
      <w:r>
        <w:t xml:space="preserve"> or similar permanent central depository. </w:t>
      </w:r>
    </w:p>
    <w:p w14:paraId="7C8E1C3A" w14:textId="203619FE" w:rsidR="00A659B7" w:rsidRDefault="00A659B7" w:rsidP="00A659B7">
      <w:pPr>
        <w:pStyle w:val="ListBullet"/>
      </w:pPr>
      <w:r>
        <w:t>Greater attention needs to be paid to data entry and quality control. Organisations should not use generic terms (e.g. ‘GP’, ‘Primary Care’ or ‘Prescribing Support Services’) rather than actual supplier names, and our experience points towards an unacceptable number of non-standard, misnamed and mis-dated accounts; indicative, we suspect, of organisations seeking to meet their quasi-legal responsibilities rather than aiming to provide useful data.</w:t>
      </w:r>
    </w:p>
    <w:p w14:paraId="2126AFDC" w14:textId="6C5B778A" w:rsidR="00A659B7" w:rsidRDefault="00A659B7" w:rsidP="00A659B7">
      <w:pPr>
        <w:pStyle w:val="ListBullet"/>
      </w:pPr>
      <w:r>
        <w:t>All organisations are required to make the monthly “over-threshold” accounts available in .csv format and, where there are problems, their response to requests for accounts should be quick and effective. This was not always the case and, even after formal Freedom of Information (FoI) requests, we were unable to obtain 2018/19 data for four CCGs.</w:t>
      </w:r>
    </w:p>
    <w:p w14:paraId="2B1DEF70" w14:textId="1CACEB76" w:rsidR="00A659B7" w:rsidRDefault="00A659B7" w:rsidP="00CB79E6">
      <w:pPr>
        <w:pStyle w:val="BodyText"/>
      </w:pPr>
      <w:r>
        <w:t xml:space="preserve">HM Treasury’s guidance is now somewhat dated, and certainly pre-dates the widespread adoption of data-scraping and other automated techniques used to process large and complex </w:t>
      </w:r>
      <w:r>
        <w:lastRenderedPageBreak/>
        <w:t>datasets.  The following would greatly enhance the value of the “over-threshold” accounts to health services research:</w:t>
      </w:r>
    </w:p>
    <w:p w14:paraId="2EDC896F" w14:textId="35A63A7A" w:rsidR="009643EA" w:rsidRDefault="00A659B7" w:rsidP="002B0AFE">
      <w:pPr>
        <w:pStyle w:val="ListBullet"/>
      </w:pPr>
      <w:r>
        <w:t>Local variation in how suppliers are named poses significant problems.  Where organisations are registered companies or charities the inclusion of Company House and/or Charity Commission registration numbers would be invaluable.</w:t>
      </w:r>
    </w:p>
    <w:p w14:paraId="620A0042" w14:textId="2D486562" w:rsidR="00A659B7" w:rsidRPr="002B0AFE" w:rsidRDefault="00A659B7" w:rsidP="002B0AFE">
      <w:pPr>
        <w:pStyle w:val="ListBullet"/>
      </w:pPr>
      <w:r>
        <w:t xml:space="preserve">With the huge reduction in the number of commissioners </w:t>
      </w:r>
      <w:r w:rsidR="002A5FD5">
        <w:t xml:space="preserve">(down to the current 42 Integrated Care Systems (ICS)) </w:t>
      </w:r>
      <w:r>
        <w:t xml:space="preserve">there has been a concomitant loss of information on how spending varies geographically. The use of supplier postcode, which is currently rare even though HM Treasury’s guidance states that this should be published if available, would help.  </w:t>
      </w:r>
      <w:r w:rsidR="002A5FD5">
        <w:t>It would also greatly help developing an understanding of spending patterns if ICS “over-threshold” accounts state whether particular invoices referred to pan-ICS activity, or were focussed on one or more of the ‘places’ or ‘neighbourhoods’ into which ICS are now divided.</w:t>
      </w:r>
    </w:p>
    <w:sectPr w:rsidR="00A659B7" w:rsidRPr="002B0AFE" w:rsidSect="00AC4E3F">
      <w:footerReference w:type="default" r:id="rId28"/>
      <w:endnotePr>
        <w:numFmt w:val="decimal"/>
      </w:endnotePr>
      <w:pgSz w:w="11906" w:h="16838"/>
      <w:pgMar w:top="1361" w:right="1440" w:bottom="1361"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46A46" w14:textId="77777777" w:rsidR="00934957" w:rsidRDefault="00934957" w:rsidP="00113E4B">
      <w:pPr>
        <w:spacing w:after="0" w:line="240" w:lineRule="auto"/>
      </w:pPr>
      <w:r>
        <w:separator/>
      </w:r>
    </w:p>
  </w:endnote>
  <w:endnote w:type="continuationSeparator" w:id="0">
    <w:p w14:paraId="35C71AC4" w14:textId="77777777" w:rsidR="00934957" w:rsidRDefault="00934957" w:rsidP="00113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0629931"/>
      <w:docPartObj>
        <w:docPartGallery w:val="Page Numbers (Bottom of Page)"/>
        <w:docPartUnique/>
      </w:docPartObj>
    </w:sdtPr>
    <w:sdtContent>
      <w:p w14:paraId="2863F788" w14:textId="7A618A54" w:rsidR="009A0A66" w:rsidRPr="009A0A66" w:rsidRDefault="009A0A66" w:rsidP="009A0A66">
        <w:pPr>
          <w:pStyle w:val="Footer"/>
        </w:pPr>
        <w:r w:rsidRPr="009A0A66">
          <w:fldChar w:fldCharType="begin"/>
        </w:r>
        <w:r w:rsidRPr="009A0A66">
          <w:instrText xml:space="preserve"> PAGE   \* MERGEFORMAT </w:instrText>
        </w:r>
        <w:r w:rsidRPr="009A0A66">
          <w:fldChar w:fldCharType="separate"/>
        </w:r>
        <w:r w:rsidRPr="009A0A66">
          <w:t>2</w:t>
        </w:r>
        <w:r w:rsidRPr="009A0A66">
          <w:fldChar w:fldCharType="end"/>
        </w:r>
      </w:p>
    </w:sdtContent>
  </w:sdt>
  <w:p w14:paraId="213C1E3F" w14:textId="77777777" w:rsidR="009A0A66" w:rsidRDefault="009A0A66" w:rsidP="009A0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1231E" w14:textId="77777777" w:rsidR="00934957" w:rsidRDefault="00934957" w:rsidP="00113E4B">
      <w:pPr>
        <w:spacing w:after="0" w:line="240" w:lineRule="auto"/>
      </w:pPr>
      <w:r>
        <w:separator/>
      </w:r>
    </w:p>
  </w:footnote>
  <w:footnote w:type="continuationSeparator" w:id="0">
    <w:p w14:paraId="1B9E096D" w14:textId="77777777" w:rsidR="00934957" w:rsidRDefault="00934957" w:rsidP="00113E4B">
      <w:pPr>
        <w:spacing w:after="0" w:line="240" w:lineRule="auto"/>
      </w:pPr>
      <w:r>
        <w:continuationSeparator/>
      </w:r>
    </w:p>
  </w:footnote>
  <w:footnote w:id="1">
    <w:p w14:paraId="7F39C996" w14:textId="73EF7C28" w:rsidR="00D02D7D" w:rsidRPr="00113E4B" w:rsidRDefault="00D02D7D" w:rsidP="0012216A">
      <w:pPr>
        <w:pStyle w:val="FootnoteText"/>
        <w:rPr>
          <w:lang w:val="en-US"/>
        </w:rPr>
      </w:pPr>
      <w:r>
        <w:rPr>
          <w:rStyle w:val="FootnoteReference"/>
        </w:rPr>
        <w:footnoteRef/>
      </w:r>
      <w:r>
        <w:t xml:space="preserve"> </w:t>
      </w:r>
      <w:r>
        <w:tab/>
      </w:r>
      <w:r w:rsidRPr="00CB79E6">
        <w:t xml:space="preserve">HM Treasury (2013) </w:t>
      </w:r>
      <w:r w:rsidRPr="001953C8">
        <w:rPr>
          <w:i/>
          <w:iCs/>
        </w:rPr>
        <w:t>Guidance for publishing spend over £25,000</w:t>
      </w:r>
      <w:r w:rsidRPr="00CB79E6">
        <w:t xml:space="preserve"> (</w:t>
      </w:r>
      <w:hyperlink r:id="rId1" w:history="1">
        <w:r w:rsidRPr="00CB79E6">
          <w:t>https://tinyurl.com/4m9p23hp)</w:t>
        </w:r>
      </w:hyperlink>
      <w:r w:rsidR="0020030C">
        <w:t xml:space="preserve">. </w:t>
      </w:r>
    </w:p>
  </w:footnote>
  <w:footnote w:id="2">
    <w:p w14:paraId="761A75D5" w14:textId="35F6B307" w:rsidR="00D02D7D" w:rsidRPr="00396681" w:rsidRDefault="00D02D7D" w:rsidP="0012216A">
      <w:pPr>
        <w:pStyle w:val="FootnoteText"/>
        <w:rPr>
          <w:lang w:val="en-US"/>
        </w:rPr>
      </w:pPr>
      <w:r>
        <w:rPr>
          <w:rStyle w:val="FootnoteReference"/>
        </w:rPr>
        <w:footnoteRef/>
      </w:r>
      <w:r>
        <w:t xml:space="preserve"> </w:t>
      </w:r>
      <w:r>
        <w:tab/>
      </w:r>
      <w:r w:rsidR="000826D9">
        <w:rPr>
          <w:rStyle w:val="author"/>
        </w:rPr>
        <w:t>Rahal, C.</w:t>
      </w:r>
      <w:r w:rsidR="000826D9">
        <w:t xml:space="preserve"> (</w:t>
      </w:r>
      <w:r w:rsidR="000826D9">
        <w:rPr>
          <w:rStyle w:val="pubyear"/>
        </w:rPr>
        <w:t>2018</w:t>
      </w:r>
      <w:r w:rsidR="000826D9">
        <w:t xml:space="preserve">) </w:t>
      </w:r>
      <w:r w:rsidR="000826D9">
        <w:rPr>
          <w:rStyle w:val="articletitle"/>
        </w:rPr>
        <w:t>The Keys to Unlocking Public Payments Data</w:t>
      </w:r>
      <w:r w:rsidR="000826D9">
        <w:t xml:space="preserve">. </w:t>
      </w:r>
      <w:proofErr w:type="spellStart"/>
      <w:r w:rsidR="000826D9">
        <w:rPr>
          <w:i/>
          <w:iCs/>
        </w:rPr>
        <w:t>Kyklos</w:t>
      </w:r>
      <w:proofErr w:type="spellEnd"/>
      <w:r w:rsidR="000826D9">
        <w:t xml:space="preserve">, </w:t>
      </w:r>
      <w:r w:rsidR="000826D9">
        <w:rPr>
          <w:rStyle w:val="vol"/>
        </w:rPr>
        <w:t>71</w:t>
      </w:r>
      <w:r w:rsidR="000826D9">
        <w:t xml:space="preserve">: </w:t>
      </w:r>
      <w:r w:rsidR="000826D9">
        <w:rPr>
          <w:rStyle w:val="pagefirst"/>
        </w:rPr>
        <w:t>310</w:t>
      </w:r>
      <w:r w:rsidR="000826D9">
        <w:t xml:space="preserve">– </w:t>
      </w:r>
      <w:r w:rsidR="000826D9">
        <w:rPr>
          <w:rStyle w:val="pagelast"/>
        </w:rPr>
        <w:t>337</w:t>
      </w:r>
      <w:r w:rsidR="000826D9">
        <w:t xml:space="preserve">. </w:t>
      </w:r>
      <w:proofErr w:type="spellStart"/>
      <w:r w:rsidR="000826D9">
        <w:t>doi</w:t>
      </w:r>
      <w:proofErr w:type="spellEnd"/>
      <w:r w:rsidR="000826D9">
        <w:t xml:space="preserve">: </w:t>
      </w:r>
      <w:hyperlink r:id="rId2" w:tgtFrame="_blank" w:tooltip="Link to external resource: 10.1111/kykl.12171" w:history="1">
        <w:r w:rsidR="000826D9">
          <w:rPr>
            <w:rStyle w:val="Hyperlink"/>
          </w:rPr>
          <w:t>10.1111/kykl.12171</w:t>
        </w:r>
      </w:hyperlink>
      <w:r w:rsidR="000826D9">
        <w:t xml:space="preserve">; </w:t>
      </w:r>
      <w:r w:rsidRPr="00D96FD0">
        <w:rPr>
          <w:lang w:val="en-US"/>
        </w:rPr>
        <w:t>Rahal, C., &amp; Mohan, J. (2022). The Role of the Third Sector in Public Health Service Provision: Evidence from 25,338 heterogeneous procurement datasets.</w:t>
      </w:r>
      <w:r>
        <w:rPr>
          <w:lang w:val="en-US"/>
        </w:rPr>
        <w:t xml:space="preserve"> </w:t>
      </w:r>
      <w:proofErr w:type="spellStart"/>
      <w:r w:rsidRPr="000826D9">
        <w:rPr>
          <w:i/>
          <w:iCs/>
        </w:rPr>
        <w:t>SocArXiv</w:t>
      </w:r>
      <w:proofErr w:type="spellEnd"/>
      <w:r>
        <w:t xml:space="preserve">, </w:t>
      </w:r>
      <w:r w:rsidR="000826D9">
        <w:rPr>
          <w:lang w:val="en-US"/>
        </w:rPr>
        <w:t>(</w:t>
      </w:r>
      <w:r w:rsidRPr="00D96FD0">
        <w:rPr>
          <w:lang w:val="en-US"/>
        </w:rPr>
        <w:t>https://doi.org/10.31235/osf.io/t4x52</w:t>
      </w:r>
      <w:r w:rsidR="000826D9">
        <w:rPr>
          <w:lang w:val="en-US"/>
        </w:rPr>
        <w:t>);</w:t>
      </w:r>
      <w:r w:rsidRPr="00D96FD0">
        <w:rPr>
          <w:lang w:val="en-US"/>
        </w:rPr>
        <w:t xml:space="preserve"> </w:t>
      </w:r>
      <w:proofErr w:type="spellStart"/>
      <w:r w:rsidRPr="00D96FD0">
        <w:rPr>
          <w:lang w:val="en-US"/>
        </w:rPr>
        <w:t>Goodair</w:t>
      </w:r>
      <w:proofErr w:type="spellEnd"/>
      <w:r w:rsidRPr="00D96FD0">
        <w:rPr>
          <w:lang w:val="en-US"/>
        </w:rPr>
        <w:t>, B</w:t>
      </w:r>
      <w:r w:rsidR="000826D9">
        <w:rPr>
          <w:lang w:val="en-US"/>
        </w:rPr>
        <w:t>.</w:t>
      </w:r>
      <w:r w:rsidRPr="00D96FD0">
        <w:rPr>
          <w:lang w:val="en-US"/>
        </w:rPr>
        <w:t xml:space="preserve"> </w:t>
      </w:r>
      <w:r w:rsidR="000826D9">
        <w:rPr>
          <w:lang w:val="en-US"/>
        </w:rPr>
        <w:t>&amp;</w:t>
      </w:r>
      <w:r w:rsidRPr="00D96FD0">
        <w:rPr>
          <w:lang w:val="en-US"/>
        </w:rPr>
        <w:t xml:space="preserve"> Reeves, A</w:t>
      </w:r>
      <w:r w:rsidR="000826D9">
        <w:rPr>
          <w:lang w:val="en-US"/>
        </w:rPr>
        <w:t>. (2022)</w:t>
      </w:r>
      <w:r w:rsidRPr="00D96FD0">
        <w:rPr>
          <w:lang w:val="en-US"/>
        </w:rPr>
        <w:t xml:space="preserve"> Outsourcing health-care services to the private sector and treatable mortality rates in England, 2013-20: an observational study of NHS </w:t>
      </w:r>
      <w:proofErr w:type="spellStart"/>
      <w:r w:rsidRPr="00D96FD0">
        <w:rPr>
          <w:lang w:val="en-US"/>
        </w:rPr>
        <w:t>privatisation</w:t>
      </w:r>
      <w:proofErr w:type="spellEnd"/>
      <w:r w:rsidRPr="00D96FD0">
        <w:rPr>
          <w:lang w:val="en-US"/>
        </w:rPr>
        <w:t xml:space="preserve">, </w:t>
      </w:r>
      <w:r w:rsidR="000826D9" w:rsidRPr="001953C8">
        <w:rPr>
          <w:i/>
          <w:iCs/>
          <w:lang w:val="en-US"/>
        </w:rPr>
        <w:t>The Lancet Public Health</w:t>
      </w:r>
      <w:r w:rsidR="000826D9">
        <w:rPr>
          <w:lang w:val="en-US"/>
        </w:rPr>
        <w:t>, 7(7) E638-E646, July 01, 2022 (</w:t>
      </w:r>
      <w:r w:rsidR="000826D9">
        <w:t xml:space="preserve">DOI: </w:t>
      </w:r>
      <w:hyperlink r:id="rId3" w:history="1">
        <w:r w:rsidR="000826D9">
          <w:rPr>
            <w:rStyle w:val="Hyperlink"/>
          </w:rPr>
          <w:t>https://doi.org/10.1016/S2468-2667(22)00133-5</w:t>
        </w:r>
      </w:hyperlink>
      <w:r w:rsidRPr="00D96FD0">
        <w:rPr>
          <w:lang w:val="en-US"/>
        </w:rPr>
        <w:t>)</w:t>
      </w:r>
      <w:r w:rsidR="000826D9">
        <w:rPr>
          <w:lang w:val="en-US"/>
        </w:rPr>
        <w:t xml:space="preserve">. </w:t>
      </w:r>
    </w:p>
  </w:footnote>
  <w:footnote w:id="3">
    <w:p w14:paraId="02DFCC0F" w14:textId="7CB22D5E" w:rsidR="00D02D7D" w:rsidRPr="0019370B" w:rsidRDefault="00D02D7D" w:rsidP="001953C8">
      <w:pPr>
        <w:pStyle w:val="FootnoteText"/>
        <w:rPr>
          <w:lang w:val="en-US"/>
        </w:rPr>
      </w:pPr>
      <w:r>
        <w:rPr>
          <w:rStyle w:val="FootnoteReference"/>
        </w:rPr>
        <w:footnoteRef/>
      </w:r>
      <w:r>
        <w:t xml:space="preserve"> </w:t>
      </w:r>
      <w:r w:rsidR="00D4392E">
        <w:tab/>
      </w:r>
      <w:r w:rsidR="003E4DE3">
        <w:t xml:space="preserve">NIHR (2020) </w:t>
      </w:r>
      <w:r w:rsidR="003E4DE3" w:rsidRPr="003E4DE3">
        <w:rPr>
          <w:i/>
          <w:iCs/>
        </w:rPr>
        <w:t>Commissioning, Co-commissioning and Being Commissioned; the NHS and Third Sector Organisations. Multi-method realist study</w:t>
      </w:r>
      <w:r w:rsidR="003E4DE3">
        <w:rPr>
          <w:i/>
          <w:iCs/>
        </w:rPr>
        <w:t>. Protocol</w:t>
      </w:r>
      <w:r w:rsidR="003E4DE3">
        <w:t>.</w:t>
      </w:r>
      <w:r w:rsidR="003E4DE3" w:rsidRPr="003E4DE3">
        <w:rPr>
          <w:lang w:val="en-US"/>
        </w:rPr>
        <w:t xml:space="preserve"> HSDR 18/92 Evaluating approaches to health and care services commissioning and</w:t>
      </w:r>
      <w:r w:rsidR="003E4DE3">
        <w:rPr>
          <w:lang w:val="en-US"/>
        </w:rPr>
        <w:t xml:space="preserve"> </w:t>
      </w:r>
      <w:r w:rsidR="003E4DE3" w:rsidRPr="003E4DE3">
        <w:rPr>
          <w:lang w:val="en-US"/>
        </w:rPr>
        <w:t xml:space="preserve">provision with the third sector in the UK </w:t>
      </w:r>
      <w:r w:rsidR="00646421">
        <w:rPr>
          <w:lang w:val="en-US"/>
        </w:rPr>
        <w:t>(</w:t>
      </w:r>
      <w:hyperlink r:id="rId4" w:history="1">
        <w:r w:rsidR="00646421" w:rsidRPr="00E15D1C">
          <w:rPr>
            <w:rStyle w:val="Hyperlink"/>
            <w:lang w:val="en-US"/>
          </w:rPr>
          <w:t>https://tinyurl.com/fuxbj76x</w:t>
        </w:r>
      </w:hyperlink>
      <w:r w:rsidR="00646421">
        <w:rPr>
          <w:lang w:val="en-US"/>
        </w:rPr>
        <w:t xml:space="preserve">). </w:t>
      </w:r>
    </w:p>
  </w:footnote>
  <w:footnote w:id="4">
    <w:p w14:paraId="195971D2" w14:textId="41DC4B27" w:rsidR="00D02D7D" w:rsidRDefault="00D02D7D" w:rsidP="0012216A">
      <w:pPr>
        <w:pStyle w:val="FootnoteText"/>
      </w:pPr>
      <w:r>
        <w:rPr>
          <w:rStyle w:val="FootnoteReference"/>
        </w:rPr>
        <w:footnoteRef/>
      </w:r>
      <w:r>
        <w:t xml:space="preserve"> </w:t>
      </w:r>
      <w:r w:rsidR="00D4392E">
        <w:tab/>
      </w:r>
      <w:r w:rsidRPr="00996AAE">
        <w:t>Reproducible Analytical Pipelines (RAP)</w:t>
      </w:r>
      <w:r>
        <w:t xml:space="preserve"> are </w:t>
      </w:r>
      <w:r w:rsidRPr="00996AAE">
        <w:t>automated statistical and analytical processes</w:t>
      </w:r>
      <w:r>
        <w:t xml:space="preserve"> which aim to ensure that research is </w:t>
      </w:r>
      <w:r w:rsidRPr="00996AAE">
        <w:t>reproducible, auditable, efficient, and high quality.</w:t>
      </w:r>
      <w:r>
        <w:t xml:space="preserve"> </w:t>
      </w:r>
      <w:r w:rsidR="004641AC">
        <w:t xml:space="preserve">Considered </w:t>
      </w:r>
      <w:r>
        <w:t>best practice</w:t>
      </w:r>
      <w:r w:rsidR="004641AC">
        <w:t xml:space="preserve">, they </w:t>
      </w:r>
      <w:r>
        <w:t xml:space="preserve">depend on the availability of permanent open-source data. </w:t>
      </w:r>
      <w:r w:rsidR="004641AC">
        <w:t>(</w:t>
      </w:r>
      <w:hyperlink r:id="rId5" w:history="1">
        <w:r w:rsidR="004641AC" w:rsidRPr="00E15D1C">
          <w:rPr>
            <w:rStyle w:val="Hyperlink"/>
          </w:rPr>
          <w:t>https://tinyurl.com/ycy5b7d4</w:t>
        </w:r>
      </w:hyperlink>
      <w:r w:rsidR="004641AC">
        <w:t xml:space="preserve">) </w:t>
      </w:r>
      <w:r>
        <w:t xml:space="preserve"> </w:t>
      </w:r>
    </w:p>
  </w:footnote>
  <w:footnote w:id="5">
    <w:p w14:paraId="7C0726BC" w14:textId="14FEFD02" w:rsidR="00B70509" w:rsidRDefault="00B70509" w:rsidP="0012216A">
      <w:pPr>
        <w:pStyle w:val="FootnoteText"/>
      </w:pPr>
      <w:r w:rsidRPr="00A02899">
        <w:rPr>
          <w:rStyle w:val="FootnoteReference"/>
        </w:rPr>
        <w:footnoteRef/>
      </w:r>
      <w:r w:rsidRPr="00A02899">
        <w:t xml:space="preserve"> </w:t>
      </w:r>
      <w:r w:rsidRPr="00A02899">
        <w:tab/>
      </w:r>
      <w:r w:rsidR="000C2FB3" w:rsidRPr="009B245D">
        <w:rPr>
          <w:i/>
          <w:iCs/>
        </w:rPr>
        <w:t>CCG Spend on VCSEs, 2018/19: Data &amp; Analysis</w:t>
      </w:r>
      <w:r w:rsidR="000C2FB3" w:rsidRPr="000C2FB3">
        <w:t xml:space="preserve"> </w:t>
      </w:r>
      <w:r w:rsidRPr="00A02899">
        <w:t>(202</w:t>
      </w:r>
      <w:r w:rsidR="000C2FB3">
        <w:t>3</w:t>
      </w:r>
      <w:r w:rsidRPr="00A02899">
        <w:t xml:space="preserve">) </w:t>
      </w:r>
      <w:hyperlink r:id="rId6" w:history="1">
        <w:r w:rsidR="009B245D" w:rsidRPr="005D0B82">
          <w:rPr>
            <w:rStyle w:val="Hyperlink"/>
          </w:rPr>
          <w:t>https://github.com/AlexGibsonPlymouth/3SC.git</w:t>
        </w:r>
      </w:hyperlink>
    </w:p>
  </w:footnote>
  <w:footnote w:id="6">
    <w:p w14:paraId="12FF5BDB" w14:textId="1860F9D7" w:rsidR="00D02D7D" w:rsidRDefault="00D02D7D" w:rsidP="0012216A">
      <w:pPr>
        <w:pStyle w:val="FootnoteText"/>
      </w:pPr>
      <w:r>
        <w:rPr>
          <w:rStyle w:val="FootnoteReference"/>
        </w:rPr>
        <w:footnoteRef/>
      </w:r>
      <w:r>
        <w:t xml:space="preserve"> </w:t>
      </w:r>
      <w:r w:rsidR="00646421">
        <w:tab/>
      </w:r>
      <w:r>
        <w:t xml:space="preserve">When </w:t>
      </w:r>
      <w:r w:rsidR="00646421">
        <w:t xml:space="preserve">well </w:t>
      </w:r>
      <w:r>
        <w:t xml:space="preserve">formatted the Tabula conversion program </w:t>
      </w:r>
      <w:r w:rsidR="00635B28">
        <w:t>c</w:t>
      </w:r>
      <w:r w:rsidR="00B84BEE">
        <w:t xml:space="preserve">ould </w:t>
      </w:r>
      <w:r w:rsidR="00635B28">
        <w:t xml:space="preserve">be </w:t>
      </w:r>
      <w:r>
        <w:t>used (</w:t>
      </w:r>
      <w:hyperlink r:id="rId7" w:history="1">
        <w:r w:rsidRPr="00D37749">
          <w:rPr>
            <w:rStyle w:val="Hyperlink"/>
          </w:rPr>
          <w:t>https://tabula.technology/</w:t>
        </w:r>
      </w:hyperlink>
      <w:r>
        <w:t xml:space="preserve">) to convert to CSV. This wasn’t possible </w:t>
      </w:r>
      <w:r w:rsidR="00B84BEE">
        <w:t xml:space="preserve">for </w:t>
      </w:r>
      <w:r>
        <w:t xml:space="preserve">the City &amp; Hackney, Newham, and Horsham </w:t>
      </w:r>
      <w:r w:rsidR="00646421">
        <w:t xml:space="preserve">&amp; </w:t>
      </w:r>
      <w:r>
        <w:t>Mid Sussex</w:t>
      </w:r>
      <w:r w:rsidR="00B84BEE">
        <w:t xml:space="preserve"> accounts</w:t>
      </w:r>
      <w:r w:rsidR="001554CC">
        <w:t>.</w:t>
      </w:r>
    </w:p>
  </w:footnote>
  <w:footnote w:id="7">
    <w:p w14:paraId="0F876974" w14:textId="5DCD1B62" w:rsidR="00D02D7D" w:rsidRDefault="00D02D7D" w:rsidP="00646421">
      <w:pPr>
        <w:pStyle w:val="FootnoteText"/>
      </w:pPr>
      <w:r>
        <w:rPr>
          <w:rStyle w:val="FootnoteReference"/>
        </w:rPr>
        <w:footnoteRef/>
      </w:r>
      <w:r>
        <w:t xml:space="preserve"> </w:t>
      </w:r>
      <w:r w:rsidR="00646421">
        <w:tab/>
        <w:t xml:space="preserve">NHS England (2018) </w:t>
      </w:r>
      <w:r w:rsidRPr="00B869B7">
        <w:rPr>
          <w:i/>
          <w:iCs/>
        </w:rPr>
        <w:t>Clinical Commissioning Groups’ accounts (2016-17)</w:t>
      </w:r>
      <w:r w:rsidR="00646421">
        <w:t xml:space="preserve"> (</w:t>
      </w:r>
      <w:hyperlink r:id="rId8" w:history="1">
        <w:r w:rsidR="00646421" w:rsidRPr="00E15D1C">
          <w:rPr>
            <w:rStyle w:val="Hyperlink"/>
          </w:rPr>
          <w:t>https://tinyurl.com/333fyndk</w:t>
        </w:r>
      </w:hyperlink>
      <w:r w:rsidR="00646421">
        <w:t xml:space="preserve">). </w:t>
      </w:r>
    </w:p>
  </w:footnote>
  <w:footnote w:id="8">
    <w:p w14:paraId="1B7DA217" w14:textId="2AF5D58C" w:rsidR="00DA31ED" w:rsidRDefault="00DA31ED">
      <w:pPr>
        <w:pStyle w:val="FootnoteText"/>
      </w:pPr>
      <w:r>
        <w:rPr>
          <w:rStyle w:val="FootnoteReference"/>
        </w:rPr>
        <w:footnoteRef/>
      </w:r>
      <w:r>
        <w:t xml:space="preserve"> </w:t>
      </w:r>
      <w:r>
        <w:tab/>
        <w:t xml:space="preserve">Virgin (2021) </w:t>
      </w:r>
      <w:r w:rsidRPr="008227C5">
        <w:rPr>
          <w:i/>
          <w:iCs/>
        </w:rPr>
        <w:t>Introducing HCRG Care Group</w:t>
      </w:r>
      <w:r>
        <w:t>. 1 Dec 2021. (</w:t>
      </w:r>
      <w:hyperlink r:id="rId9" w:history="1">
        <w:r w:rsidRPr="00B1003D">
          <w:rPr>
            <w:rStyle w:val="Hyperlink"/>
          </w:rPr>
          <w:t>https://tinyurl.com/cyyxee2k</w:t>
        </w:r>
      </w:hyperlink>
      <w:r>
        <w:t xml:space="preserve">) </w:t>
      </w:r>
    </w:p>
  </w:footnote>
  <w:footnote w:id="9">
    <w:p w14:paraId="03AD106E" w14:textId="01920FFA" w:rsidR="00DA31ED" w:rsidRDefault="00DA31ED">
      <w:pPr>
        <w:pStyle w:val="FootnoteText"/>
      </w:pPr>
      <w:r>
        <w:rPr>
          <w:rStyle w:val="FootnoteReference"/>
        </w:rPr>
        <w:footnoteRef/>
      </w:r>
      <w:r>
        <w:t xml:space="preserve"> </w:t>
      </w:r>
      <w:r>
        <w:tab/>
      </w:r>
      <w:r w:rsidR="008227C5">
        <w:t xml:space="preserve">Twenty20Capital (2021) </w:t>
      </w:r>
      <w:r w:rsidR="008227C5" w:rsidRPr="008227C5">
        <w:rPr>
          <w:i/>
          <w:iCs/>
        </w:rPr>
        <w:t>How we work</w:t>
      </w:r>
      <w:r w:rsidR="008227C5">
        <w:t xml:space="preserve">. </w:t>
      </w:r>
      <w:r>
        <w:t>(</w:t>
      </w:r>
      <w:hyperlink r:id="rId10" w:history="1">
        <w:r w:rsidR="008227C5" w:rsidRPr="00B30C39">
          <w:rPr>
            <w:rStyle w:val="Hyperlink"/>
          </w:rPr>
          <w:t>https://twenty20capital.com/how-we-work/</w:t>
        </w:r>
      </w:hyperlink>
      <w:r>
        <w:t>)</w:t>
      </w:r>
      <w:r w:rsidR="008227C5">
        <w:t xml:space="preserve"> </w:t>
      </w:r>
    </w:p>
  </w:footnote>
  <w:footnote w:id="10">
    <w:p w14:paraId="580CE1BB" w14:textId="758EBD41" w:rsidR="00BC383B" w:rsidRDefault="00BC383B" w:rsidP="00BC383B">
      <w:pPr>
        <w:pStyle w:val="FootnoteText"/>
      </w:pPr>
      <w:r>
        <w:rPr>
          <w:rStyle w:val="FootnoteReference"/>
        </w:rPr>
        <w:footnoteRef/>
      </w:r>
      <w:r>
        <w:t xml:space="preserve"> </w:t>
      </w:r>
      <w:r>
        <w:tab/>
        <w:t xml:space="preserve">NHS Digital (2019) </w:t>
      </w:r>
      <w:r w:rsidRPr="006F1945">
        <w:rPr>
          <w:i/>
          <w:iCs/>
        </w:rPr>
        <w:t>NHS Payments to General Practice - England, 2018/19</w:t>
      </w:r>
      <w:r>
        <w:t xml:space="preserve"> (</w:t>
      </w:r>
      <w:r w:rsidR="005A2D4B" w:rsidRPr="005A2D4B">
        <w:t>https://tinyurl.com/hkkxcmeu</w:t>
      </w:r>
      <w:r>
        <w:t>)</w:t>
      </w:r>
    </w:p>
  </w:footnote>
  <w:footnote w:id="11">
    <w:p w14:paraId="2614AFC7" w14:textId="77777777" w:rsidR="00B313E3" w:rsidRDefault="00B313E3" w:rsidP="00B313E3">
      <w:pPr>
        <w:pStyle w:val="FootnoteText"/>
      </w:pPr>
      <w:r>
        <w:rPr>
          <w:rStyle w:val="FootnoteReference"/>
        </w:rPr>
        <w:footnoteRef/>
      </w:r>
      <w:r>
        <w:t xml:space="preserve"> </w:t>
      </w:r>
      <w:r>
        <w:tab/>
      </w:r>
      <w:r w:rsidRPr="0012216A">
        <w:t xml:space="preserve">David Robinson (2020). </w:t>
      </w:r>
      <w:proofErr w:type="spellStart"/>
      <w:r w:rsidRPr="0012216A">
        <w:rPr>
          <w:i/>
          <w:iCs/>
        </w:rPr>
        <w:t>fuzzyjoin</w:t>
      </w:r>
      <w:proofErr w:type="spellEnd"/>
      <w:r w:rsidRPr="0012216A">
        <w:rPr>
          <w:i/>
          <w:iCs/>
        </w:rPr>
        <w:t>: Join Tables Together on Inexact Matching</w:t>
      </w:r>
      <w:r w:rsidRPr="0012216A">
        <w:t>. R package version 0.1.6. https://CRAN.R-project.org/package=fuzzyjoin</w:t>
      </w:r>
      <w:r>
        <w:t>.</w:t>
      </w:r>
    </w:p>
  </w:footnote>
  <w:footnote w:id="12">
    <w:p w14:paraId="793C94AD" w14:textId="77777777" w:rsidR="00112749" w:rsidRDefault="00112749" w:rsidP="00112749">
      <w:pPr>
        <w:pStyle w:val="FootnoteText"/>
      </w:pPr>
      <w:r>
        <w:rPr>
          <w:rStyle w:val="FootnoteReference"/>
        </w:rPr>
        <w:footnoteRef/>
      </w:r>
      <w:r>
        <w:t xml:space="preserve"> </w:t>
      </w:r>
      <w:r>
        <w:tab/>
        <w:t xml:space="preserve">Care Quality Commission (2022) </w:t>
      </w:r>
      <w:r w:rsidRPr="0012216A">
        <w:rPr>
          <w:i/>
          <w:iCs/>
        </w:rPr>
        <w:t>Using CQC data</w:t>
      </w:r>
      <w:r>
        <w:t xml:space="preserve"> (with links to the CQC active and deactivated locations directories). (</w:t>
      </w:r>
      <w:r w:rsidRPr="0012216A">
        <w:t>https://www.cqc.org.uk/about-us/transparency/using-cqc-data</w:t>
      </w:r>
      <w:r>
        <w:t>).</w:t>
      </w:r>
    </w:p>
  </w:footnote>
  <w:footnote w:id="13">
    <w:p w14:paraId="4F595D8A" w14:textId="77777777" w:rsidR="00525D3A" w:rsidRDefault="00525D3A" w:rsidP="00525D3A">
      <w:pPr>
        <w:pStyle w:val="FootnoteText"/>
      </w:pPr>
      <w:r>
        <w:rPr>
          <w:rStyle w:val="FootnoteReference"/>
        </w:rPr>
        <w:footnoteRef/>
      </w:r>
      <w:r>
        <w:t xml:space="preserve"> </w:t>
      </w:r>
      <w:r>
        <w:tab/>
      </w:r>
      <w:r w:rsidRPr="00CE1208">
        <w:t xml:space="preserve">Rahal, </w:t>
      </w:r>
      <w:r w:rsidRPr="00B84BEE">
        <w:rPr>
          <w:i/>
          <w:iCs/>
        </w:rPr>
        <w:t>The Keys to Unlocking Public Payments Data</w:t>
      </w:r>
      <w:r>
        <w:t xml:space="preserve"> (p316).</w:t>
      </w:r>
    </w:p>
  </w:footnote>
  <w:footnote w:id="14">
    <w:p w14:paraId="45EB2115" w14:textId="77777777" w:rsidR="00CA2639" w:rsidRDefault="00CA2639" w:rsidP="00CA2639">
      <w:pPr>
        <w:pStyle w:val="FootnoteText"/>
      </w:pPr>
      <w:r>
        <w:rPr>
          <w:rStyle w:val="FootnoteReference"/>
        </w:rPr>
        <w:footnoteRef/>
      </w:r>
      <w:r>
        <w:tab/>
        <w:t xml:space="preserve">C Rahal (2021) </w:t>
      </w:r>
      <w:proofErr w:type="spellStart"/>
      <w:r w:rsidRPr="00DA1E1A">
        <w:rPr>
          <w:i/>
          <w:iCs/>
        </w:rPr>
        <w:t>NHSSpend</w:t>
      </w:r>
      <w:proofErr w:type="spellEnd"/>
      <w:r w:rsidRPr="00DA1E1A">
        <w:rPr>
          <w:i/>
          <w:iCs/>
        </w:rPr>
        <w:t>: Tools and data for NHS procurement</w:t>
      </w:r>
      <w:r w:rsidRPr="00DA1E1A">
        <w:t xml:space="preserve"> </w:t>
      </w:r>
      <w:r>
        <w:t>(</w:t>
      </w:r>
      <w:hyperlink r:id="rId11" w:history="1">
        <w:r w:rsidRPr="00B1003D">
          <w:rPr>
            <w:rStyle w:val="Hyperlink"/>
          </w:rPr>
          <w:t>https://github.com/crahal/NHSSpend</w:t>
        </w:r>
      </w:hyperlink>
      <w:r>
        <w:t xml:space="preserve">) </w:t>
      </w:r>
    </w:p>
  </w:footnote>
  <w:footnote w:id="15">
    <w:p w14:paraId="0BE0EB0D" w14:textId="22D15B35" w:rsidR="006D528C" w:rsidRDefault="006D528C">
      <w:pPr>
        <w:pStyle w:val="FootnoteText"/>
      </w:pPr>
      <w:r>
        <w:rPr>
          <w:rStyle w:val="FootnoteReference"/>
        </w:rPr>
        <w:footnoteRef/>
      </w:r>
      <w:r>
        <w:t xml:space="preserve"> </w:t>
      </w:r>
      <w:r>
        <w:tab/>
      </w:r>
      <w:r w:rsidR="00F97B9F">
        <w:t>An initial review shows that t</w:t>
      </w:r>
      <w:r w:rsidRPr="006D528C">
        <w:t xml:space="preserve">he data for South West Lincolnshire has been duplicated and entered </w:t>
      </w:r>
      <w:r w:rsidR="005533C6">
        <w:t xml:space="preserve">under </w:t>
      </w:r>
      <w:r w:rsidRPr="006D528C">
        <w:t>“NHS_SWOR_CCG“ (</w:t>
      </w:r>
      <w:r w:rsidR="00F4458C">
        <w:t xml:space="preserve">an acronym </w:t>
      </w:r>
      <w:r w:rsidRPr="006D528C">
        <w:t xml:space="preserve">which </w:t>
      </w:r>
      <w:r w:rsidR="00F4458C">
        <w:t xml:space="preserve">does not appear to match any </w:t>
      </w:r>
      <w:r w:rsidRPr="006D528C">
        <w:t xml:space="preserve">CCG); data for Crawley CCG </w:t>
      </w:r>
      <w:r w:rsidR="00415064">
        <w:t xml:space="preserve">appears to </w:t>
      </w:r>
      <w:r w:rsidRPr="006D528C">
        <w:t xml:space="preserve">include invoices </w:t>
      </w:r>
      <w:r w:rsidR="00F97B9F">
        <w:t xml:space="preserve">from </w:t>
      </w:r>
      <w:r w:rsidRPr="006D528C">
        <w:t>Horsham &amp; Mid Sussex</w:t>
      </w:r>
      <w:r w:rsidR="00F97B9F">
        <w:t xml:space="preserve"> CCG</w:t>
      </w:r>
      <w:r w:rsidRPr="006D528C">
        <w:t>, and the Surrey Down</w:t>
      </w:r>
      <w:r w:rsidR="00F4458C">
        <w:t>s</w:t>
      </w:r>
      <w:r w:rsidRPr="006D528C">
        <w:t xml:space="preserve"> data has been corrupted, seemingly by the inclusion of subtotals.</w:t>
      </w:r>
      <w:r w:rsidR="005533C6">
        <w:t xml:space="preserve"> </w:t>
      </w:r>
      <w:r w:rsidR="00F97B9F">
        <w:t>Other problems may exist.</w:t>
      </w:r>
    </w:p>
  </w:footnote>
  <w:footnote w:id="16">
    <w:p w14:paraId="1042F34C" w14:textId="2194399F" w:rsidR="002161A4" w:rsidRDefault="002161A4" w:rsidP="002161A4">
      <w:pPr>
        <w:pStyle w:val="FootnoteText"/>
      </w:pPr>
      <w:r>
        <w:rPr>
          <w:rStyle w:val="FootnoteReference"/>
        </w:rPr>
        <w:footnoteRef/>
      </w:r>
      <w:r>
        <w:t xml:space="preserve"> </w:t>
      </w:r>
      <w:r>
        <w:tab/>
      </w:r>
      <w:proofErr w:type="spellStart"/>
      <w:r>
        <w:t>Dayson</w:t>
      </w:r>
      <w:proofErr w:type="spellEnd"/>
      <w:r>
        <w:t xml:space="preserve">, C. et al. (2013) </w:t>
      </w:r>
      <w:r w:rsidRPr="002161A4">
        <w:rPr>
          <w:i/>
          <w:iCs/>
        </w:rPr>
        <w:t>Greater Manchester State of the Voluntary Sector 2013</w:t>
      </w:r>
      <w:r>
        <w:t>. Centre for Regional Economic and Social Research. Sheffield Hallam University. (</w:t>
      </w:r>
      <w:hyperlink r:id="rId12" w:history="1">
        <w:r w:rsidRPr="008C3E53">
          <w:rPr>
            <w:rStyle w:val="Hyperlink"/>
          </w:rPr>
          <w:t>https://tinyurl.com/y53jbu8u</w:t>
        </w:r>
      </w:hyperlink>
      <w:r>
        <w:t xml:space="preserve">) </w:t>
      </w:r>
    </w:p>
  </w:footnote>
  <w:footnote w:id="17">
    <w:p w14:paraId="7CA518AF" w14:textId="3C22E9FA" w:rsidR="00C55434" w:rsidRDefault="00C55434">
      <w:pPr>
        <w:pStyle w:val="FootnoteText"/>
      </w:pPr>
      <w:r>
        <w:rPr>
          <w:rStyle w:val="FootnoteReference"/>
        </w:rPr>
        <w:footnoteRef/>
      </w:r>
      <w:r>
        <w:tab/>
      </w:r>
      <w:r w:rsidRPr="00F72871">
        <w:rPr>
          <w:i/>
          <w:iCs/>
        </w:rPr>
        <w:t xml:space="preserve">Accounts for City Health Care Partnership, </w:t>
      </w:r>
      <w:r w:rsidR="00F72871">
        <w:rPr>
          <w:i/>
          <w:iCs/>
        </w:rPr>
        <w:t xml:space="preserve">year ending </w:t>
      </w:r>
      <w:r w:rsidR="00F72871" w:rsidRPr="00F72871">
        <w:rPr>
          <w:i/>
          <w:iCs/>
        </w:rPr>
        <w:t>31 March 2019</w:t>
      </w:r>
      <w:r w:rsidR="00F72871">
        <w:t xml:space="preserve"> (</w:t>
      </w:r>
      <w:hyperlink r:id="rId13" w:history="1">
        <w:r w:rsidR="00F72871" w:rsidRPr="00B30C39">
          <w:rPr>
            <w:rStyle w:val="Hyperlink"/>
          </w:rPr>
          <w:t>https://tinyurl.com/5afkr99z</w:t>
        </w:r>
      </w:hyperlink>
      <w:r w:rsidR="00F72871">
        <w:t xml:space="preserve">). </w:t>
      </w:r>
    </w:p>
  </w:footnote>
  <w:footnote w:id="18">
    <w:p w14:paraId="2E39C323" w14:textId="40A0820A" w:rsidR="004827BD" w:rsidRDefault="004827BD">
      <w:pPr>
        <w:pStyle w:val="FootnoteText"/>
      </w:pPr>
      <w:r>
        <w:rPr>
          <w:rStyle w:val="FootnoteReference"/>
        </w:rPr>
        <w:footnoteRef/>
      </w:r>
      <w:r>
        <w:t xml:space="preserve"> </w:t>
      </w:r>
      <w:r>
        <w:tab/>
      </w:r>
      <w:r w:rsidRPr="004827BD">
        <w:rPr>
          <w:i/>
          <w:iCs/>
        </w:rPr>
        <w:t>Accounts for Marie Stopes International, year ending 31 December 2018</w:t>
      </w:r>
      <w:r>
        <w:t xml:space="preserve"> (</w:t>
      </w:r>
      <w:hyperlink r:id="rId14" w:history="1">
        <w:r w:rsidRPr="00B30C39">
          <w:rPr>
            <w:rStyle w:val="Hyperlink"/>
          </w:rPr>
          <w:t>https://tinyurl.com/4rknhzbx</w:t>
        </w:r>
      </w:hyperlink>
      <w:r>
        <w:t xml:space="preserve">). </w:t>
      </w:r>
    </w:p>
  </w:footnote>
  <w:footnote w:id="19">
    <w:p w14:paraId="4E021CC9" w14:textId="0526FCD8" w:rsidR="00A659B7" w:rsidRDefault="00A659B7">
      <w:pPr>
        <w:pStyle w:val="FootnoteText"/>
      </w:pPr>
      <w:r>
        <w:rPr>
          <w:rStyle w:val="FootnoteReference"/>
        </w:rPr>
        <w:footnoteRef/>
      </w:r>
      <w:r>
        <w:t xml:space="preserve"> </w:t>
      </w:r>
      <w:r>
        <w:tab/>
      </w:r>
      <w:r w:rsidRPr="00A659B7">
        <w:t xml:space="preserve">HM Treasury (2013) </w:t>
      </w:r>
      <w:r w:rsidRPr="00A659B7">
        <w:rPr>
          <w:i/>
          <w:iCs/>
        </w:rPr>
        <w:t>Guidance for publishing spend over £25,000</w:t>
      </w:r>
      <w:r w:rsidRPr="00A659B7">
        <w:t xml:space="preserve"> (</w:t>
      </w:r>
      <w:hyperlink r:id="rId15" w:history="1">
        <w:r w:rsidRPr="00B30C39">
          <w:rPr>
            <w:rStyle w:val="Hyperlink"/>
          </w:rPr>
          <w:t>https://tinyurl.com/4m9p23hp</w:t>
        </w:r>
      </w:hyperlink>
      <w:r w:rsidRPr="00A659B7">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EC11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6F698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6EC1D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664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B656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FD617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0E45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D4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16A8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0267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329E6"/>
    <w:multiLevelType w:val="hybridMultilevel"/>
    <w:tmpl w:val="562A2550"/>
    <w:lvl w:ilvl="0" w:tplc="040A5BC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0CC05DEC"/>
    <w:multiLevelType w:val="hybridMultilevel"/>
    <w:tmpl w:val="90BE4B02"/>
    <w:lvl w:ilvl="0" w:tplc="FE3249D8">
      <w:start w:val="1"/>
      <w:numFmt w:val="decimal"/>
      <w:pStyle w:val="WorkFlowList"/>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F8635FA"/>
    <w:multiLevelType w:val="hybridMultilevel"/>
    <w:tmpl w:val="C7C09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F893D28"/>
    <w:multiLevelType w:val="multilevel"/>
    <w:tmpl w:val="B0925BB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5E46FD3"/>
    <w:multiLevelType w:val="hybridMultilevel"/>
    <w:tmpl w:val="363ACA82"/>
    <w:lvl w:ilvl="0" w:tplc="F56A81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DBC7B90"/>
    <w:multiLevelType w:val="multilevel"/>
    <w:tmpl w:val="189EC0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860E26"/>
    <w:multiLevelType w:val="hybridMultilevel"/>
    <w:tmpl w:val="CFB00CB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F930875"/>
    <w:multiLevelType w:val="hybridMultilevel"/>
    <w:tmpl w:val="5DBA3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4A46E18"/>
    <w:multiLevelType w:val="hybridMultilevel"/>
    <w:tmpl w:val="66E24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DC638B8"/>
    <w:multiLevelType w:val="hybridMultilevel"/>
    <w:tmpl w:val="49C2FCC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FF74682"/>
    <w:multiLevelType w:val="hybridMultilevel"/>
    <w:tmpl w:val="9EA6F18A"/>
    <w:lvl w:ilvl="0" w:tplc="DA2EB888">
      <w:start w:val="1"/>
      <w:numFmt w:val="lowerLetter"/>
      <w:pStyle w:val="ListParagraphabc"/>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30AB45F4"/>
    <w:multiLevelType w:val="hybridMultilevel"/>
    <w:tmpl w:val="739E0664"/>
    <w:lvl w:ilvl="0" w:tplc="7B60B91C">
      <w:start w:val="1"/>
      <w:numFmt w:val="bullet"/>
      <w:pStyle w:val="ListParagraphBullets"/>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3CA1658"/>
    <w:multiLevelType w:val="hybridMultilevel"/>
    <w:tmpl w:val="A4E2FF72"/>
    <w:lvl w:ilvl="0" w:tplc="8F0A1D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060442"/>
    <w:multiLevelType w:val="hybridMultilevel"/>
    <w:tmpl w:val="CFB00CBC"/>
    <w:lvl w:ilvl="0" w:tplc="DB20FE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CD9764D"/>
    <w:multiLevelType w:val="multilevel"/>
    <w:tmpl w:val="3A8208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B7E2ED9"/>
    <w:multiLevelType w:val="hybridMultilevel"/>
    <w:tmpl w:val="D7FED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481727"/>
    <w:multiLevelType w:val="multilevel"/>
    <w:tmpl w:val="3A8208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42A76D0"/>
    <w:multiLevelType w:val="hybridMultilevel"/>
    <w:tmpl w:val="4E5CB5D0"/>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6744361"/>
    <w:multiLevelType w:val="hybridMultilevel"/>
    <w:tmpl w:val="D3F4BB74"/>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F364CEC"/>
    <w:multiLevelType w:val="hybridMultilevel"/>
    <w:tmpl w:val="B93E2424"/>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F6F3EA5"/>
    <w:multiLevelType w:val="hybridMultilevel"/>
    <w:tmpl w:val="141CD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8505D0"/>
    <w:multiLevelType w:val="hybridMultilevel"/>
    <w:tmpl w:val="CFB00CB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96742CF"/>
    <w:multiLevelType w:val="multilevel"/>
    <w:tmpl w:val="A50E7B80"/>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A0738B3"/>
    <w:multiLevelType w:val="hybridMultilevel"/>
    <w:tmpl w:val="C6A08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990889"/>
    <w:multiLevelType w:val="multilevel"/>
    <w:tmpl w:val="A078B6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10406621">
    <w:abstractNumId w:val="32"/>
  </w:num>
  <w:num w:numId="2" w16cid:durableId="201903920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1999594">
    <w:abstractNumId w:val="10"/>
  </w:num>
  <w:num w:numId="4" w16cid:durableId="106699541">
    <w:abstractNumId w:val="9"/>
  </w:num>
  <w:num w:numId="5" w16cid:durableId="444616946">
    <w:abstractNumId w:val="7"/>
  </w:num>
  <w:num w:numId="6" w16cid:durableId="2000885489">
    <w:abstractNumId w:val="6"/>
  </w:num>
  <w:num w:numId="7" w16cid:durableId="1305886913">
    <w:abstractNumId w:val="5"/>
  </w:num>
  <w:num w:numId="8" w16cid:durableId="2138453739">
    <w:abstractNumId w:val="4"/>
  </w:num>
  <w:num w:numId="9" w16cid:durableId="1376543689">
    <w:abstractNumId w:val="8"/>
  </w:num>
  <w:num w:numId="10" w16cid:durableId="121583745">
    <w:abstractNumId w:val="3"/>
  </w:num>
  <w:num w:numId="11" w16cid:durableId="1824934190">
    <w:abstractNumId w:val="2"/>
  </w:num>
  <w:num w:numId="12" w16cid:durableId="998120615">
    <w:abstractNumId w:val="1"/>
  </w:num>
  <w:num w:numId="13" w16cid:durableId="1734499477">
    <w:abstractNumId w:val="0"/>
  </w:num>
  <w:num w:numId="14" w16cid:durableId="122577513">
    <w:abstractNumId w:val="17"/>
  </w:num>
  <w:num w:numId="15" w16cid:durableId="1377898420">
    <w:abstractNumId w:val="19"/>
  </w:num>
  <w:num w:numId="16" w16cid:durableId="1047610075">
    <w:abstractNumId w:val="14"/>
  </w:num>
  <w:num w:numId="17" w16cid:durableId="1211454874">
    <w:abstractNumId w:val="20"/>
  </w:num>
  <w:num w:numId="18" w16cid:durableId="128136080">
    <w:abstractNumId w:val="25"/>
  </w:num>
  <w:num w:numId="19" w16cid:durableId="1693072131">
    <w:abstractNumId w:val="21"/>
  </w:num>
  <w:num w:numId="20" w16cid:durableId="76874380">
    <w:abstractNumId w:val="20"/>
    <w:lvlOverride w:ilvl="0">
      <w:startOverride w:val="1"/>
    </w:lvlOverride>
  </w:num>
  <w:num w:numId="21" w16cid:durableId="96104592">
    <w:abstractNumId w:val="18"/>
  </w:num>
  <w:num w:numId="22" w16cid:durableId="745227328">
    <w:abstractNumId w:val="12"/>
  </w:num>
  <w:num w:numId="23" w16cid:durableId="236013044">
    <w:abstractNumId w:val="30"/>
  </w:num>
  <w:num w:numId="24" w16cid:durableId="1203514579">
    <w:abstractNumId w:val="29"/>
  </w:num>
  <w:num w:numId="25" w16cid:durableId="1222449057">
    <w:abstractNumId w:val="27"/>
  </w:num>
  <w:num w:numId="26" w16cid:durableId="479732306">
    <w:abstractNumId w:val="28"/>
  </w:num>
  <w:num w:numId="27" w16cid:durableId="2083677922">
    <w:abstractNumId w:val="11"/>
  </w:num>
  <w:num w:numId="28" w16cid:durableId="1230845085">
    <w:abstractNumId w:val="15"/>
  </w:num>
  <w:num w:numId="29" w16cid:durableId="108672075">
    <w:abstractNumId w:val="23"/>
  </w:num>
  <w:num w:numId="30" w16cid:durableId="1295721772">
    <w:abstractNumId w:val="22"/>
  </w:num>
  <w:num w:numId="31" w16cid:durableId="1992437813">
    <w:abstractNumId w:val="16"/>
  </w:num>
  <w:num w:numId="32" w16cid:durableId="642269617">
    <w:abstractNumId w:val="31"/>
  </w:num>
  <w:num w:numId="33" w16cid:durableId="882979209">
    <w:abstractNumId w:val="13"/>
  </w:num>
  <w:num w:numId="34" w16cid:durableId="1756121972">
    <w:abstractNumId w:val="26"/>
  </w:num>
  <w:num w:numId="35" w16cid:durableId="1410734821">
    <w:abstractNumId w:val="24"/>
  </w:num>
  <w:num w:numId="36" w16cid:durableId="438915482">
    <w:abstractNumId w:val="34"/>
  </w:num>
  <w:num w:numId="37" w16cid:durableId="170324432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34"/>
    <w:rsid w:val="00010C07"/>
    <w:rsid w:val="00016698"/>
    <w:rsid w:val="00026106"/>
    <w:rsid w:val="00042ADF"/>
    <w:rsid w:val="00047214"/>
    <w:rsid w:val="00054AE3"/>
    <w:rsid w:val="000604BB"/>
    <w:rsid w:val="000638A1"/>
    <w:rsid w:val="000639F1"/>
    <w:rsid w:val="0006500E"/>
    <w:rsid w:val="000726B5"/>
    <w:rsid w:val="00074E49"/>
    <w:rsid w:val="000766E4"/>
    <w:rsid w:val="0008189E"/>
    <w:rsid w:val="000826D9"/>
    <w:rsid w:val="000832E0"/>
    <w:rsid w:val="00084438"/>
    <w:rsid w:val="000853E2"/>
    <w:rsid w:val="00091085"/>
    <w:rsid w:val="00097757"/>
    <w:rsid w:val="000A2282"/>
    <w:rsid w:val="000A3C40"/>
    <w:rsid w:val="000A53CF"/>
    <w:rsid w:val="000B3C30"/>
    <w:rsid w:val="000B4343"/>
    <w:rsid w:val="000C07A1"/>
    <w:rsid w:val="000C2E06"/>
    <w:rsid w:val="000C2FB3"/>
    <w:rsid w:val="000C6C0B"/>
    <w:rsid w:val="000D7155"/>
    <w:rsid w:val="000E084B"/>
    <w:rsid w:val="000E4EFF"/>
    <w:rsid w:val="0010538A"/>
    <w:rsid w:val="001057CA"/>
    <w:rsid w:val="00107EE0"/>
    <w:rsid w:val="00112749"/>
    <w:rsid w:val="00113E4B"/>
    <w:rsid w:val="0012216A"/>
    <w:rsid w:val="00126AE2"/>
    <w:rsid w:val="0012796C"/>
    <w:rsid w:val="001411B6"/>
    <w:rsid w:val="00146C48"/>
    <w:rsid w:val="001554CC"/>
    <w:rsid w:val="00157A0F"/>
    <w:rsid w:val="00163C07"/>
    <w:rsid w:val="0016405A"/>
    <w:rsid w:val="00175FFB"/>
    <w:rsid w:val="0017662F"/>
    <w:rsid w:val="001810A8"/>
    <w:rsid w:val="001878B2"/>
    <w:rsid w:val="0019370B"/>
    <w:rsid w:val="00194808"/>
    <w:rsid w:val="001953C8"/>
    <w:rsid w:val="001A063F"/>
    <w:rsid w:val="001B0695"/>
    <w:rsid w:val="001B06E0"/>
    <w:rsid w:val="001C5CB6"/>
    <w:rsid w:val="001D060A"/>
    <w:rsid w:val="001D650B"/>
    <w:rsid w:val="001D6852"/>
    <w:rsid w:val="001E6D86"/>
    <w:rsid w:val="001F04D7"/>
    <w:rsid w:val="0020030C"/>
    <w:rsid w:val="00200815"/>
    <w:rsid w:val="00203A98"/>
    <w:rsid w:val="0020602E"/>
    <w:rsid w:val="0020733C"/>
    <w:rsid w:val="002142E8"/>
    <w:rsid w:val="002161A4"/>
    <w:rsid w:val="00226F71"/>
    <w:rsid w:val="00242F8E"/>
    <w:rsid w:val="00253BE1"/>
    <w:rsid w:val="00272823"/>
    <w:rsid w:val="00275965"/>
    <w:rsid w:val="00275D9A"/>
    <w:rsid w:val="00276F96"/>
    <w:rsid w:val="0029283D"/>
    <w:rsid w:val="00292D0A"/>
    <w:rsid w:val="0029519A"/>
    <w:rsid w:val="002A341F"/>
    <w:rsid w:val="002A3822"/>
    <w:rsid w:val="002A5FD5"/>
    <w:rsid w:val="002B0AFE"/>
    <w:rsid w:val="002B3101"/>
    <w:rsid w:val="002C6CEA"/>
    <w:rsid w:val="002D0D71"/>
    <w:rsid w:val="002D3520"/>
    <w:rsid w:val="002D7F71"/>
    <w:rsid w:val="002E2D59"/>
    <w:rsid w:val="002E5C40"/>
    <w:rsid w:val="002E5FB7"/>
    <w:rsid w:val="002F3F4E"/>
    <w:rsid w:val="002F4B1D"/>
    <w:rsid w:val="002F5E2D"/>
    <w:rsid w:val="0030151E"/>
    <w:rsid w:val="0030257E"/>
    <w:rsid w:val="00305438"/>
    <w:rsid w:val="0032171B"/>
    <w:rsid w:val="0032171E"/>
    <w:rsid w:val="0034600F"/>
    <w:rsid w:val="003479E3"/>
    <w:rsid w:val="00351778"/>
    <w:rsid w:val="00354F82"/>
    <w:rsid w:val="00356CFF"/>
    <w:rsid w:val="003617FE"/>
    <w:rsid w:val="00364A5B"/>
    <w:rsid w:val="00364B8A"/>
    <w:rsid w:val="0036636A"/>
    <w:rsid w:val="00367012"/>
    <w:rsid w:val="003673ED"/>
    <w:rsid w:val="00377CD8"/>
    <w:rsid w:val="003808F0"/>
    <w:rsid w:val="00382239"/>
    <w:rsid w:val="00383DC8"/>
    <w:rsid w:val="00385629"/>
    <w:rsid w:val="00387612"/>
    <w:rsid w:val="003911D3"/>
    <w:rsid w:val="00396681"/>
    <w:rsid w:val="003A0538"/>
    <w:rsid w:val="003A0B7A"/>
    <w:rsid w:val="003A108D"/>
    <w:rsid w:val="003B2C0B"/>
    <w:rsid w:val="003B347A"/>
    <w:rsid w:val="003B354E"/>
    <w:rsid w:val="003C0CBF"/>
    <w:rsid w:val="003C79A1"/>
    <w:rsid w:val="003E0F7D"/>
    <w:rsid w:val="003E25F8"/>
    <w:rsid w:val="003E31C5"/>
    <w:rsid w:val="003E3706"/>
    <w:rsid w:val="003E4DE3"/>
    <w:rsid w:val="003E6FBC"/>
    <w:rsid w:val="003F6E4C"/>
    <w:rsid w:val="004026B8"/>
    <w:rsid w:val="0040432D"/>
    <w:rsid w:val="00405081"/>
    <w:rsid w:val="00411556"/>
    <w:rsid w:val="00415064"/>
    <w:rsid w:val="00421A6A"/>
    <w:rsid w:val="00421B83"/>
    <w:rsid w:val="00426B5E"/>
    <w:rsid w:val="004457A1"/>
    <w:rsid w:val="0045120F"/>
    <w:rsid w:val="00455569"/>
    <w:rsid w:val="00456302"/>
    <w:rsid w:val="00457B90"/>
    <w:rsid w:val="00460031"/>
    <w:rsid w:val="004641AC"/>
    <w:rsid w:val="00474913"/>
    <w:rsid w:val="004827BD"/>
    <w:rsid w:val="00490965"/>
    <w:rsid w:val="004A69BD"/>
    <w:rsid w:val="004C72EF"/>
    <w:rsid w:val="004E753F"/>
    <w:rsid w:val="004F14D5"/>
    <w:rsid w:val="005068A4"/>
    <w:rsid w:val="00522B2C"/>
    <w:rsid w:val="005234D7"/>
    <w:rsid w:val="00525D3A"/>
    <w:rsid w:val="00525D80"/>
    <w:rsid w:val="00526287"/>
    <w:rsid w:val="00531B10"/>
    <w:rsid w:val="00540BE8"/>
    <w:rsid w:val="005448F7"/>
    <w:rsid w:val="005533C6"/>
    <w:rsid w:val="00557DBE"/>
    <w:rsid w:val="00560948"/>
    <w:rsid w:val="0056096B"/>
    <w:rsid w:val="00560B65"/>
    <w:rsid w:val="005646AA"/>
    <w:rsid w:val="00567A83"/>
    <w:rsid w:val="00577221"/>
    <w:rsid w:val="0058543D"/>
    <w:rsid w:val="005940EA"/>
    <w:rsid w:val="005A2D4B"/>
    <w:rsid w:val="005A41C2"/>
    <w:rsid w:val="005A57E0"/>
    <w:rsid w:val="005B2187"/>
    <w:rsid w:val="005C6BAD"/>
    <w:rsid w:val="005F479D"/>
    <w:rsid w:val="006118DB"/>
    <w:rsid w:val="00623177"/>
    <w:rsid w:val="006274A1"/>
    <w:rsid w:val="0063598C"/>
    <w:rsid w:val="00635B28"/>
    <w:rsid w:val="006372D0"/>
    <w:rsid w:val="0064217A"/>
    <w:rsid w:val="0064445B"/>
    <w:rsid w:val="0064527F"/>
    <w:rsid w:val="00645875"/>
    <w:rsid w:val="00646421"/>
    <w:rsid w:val="00651597"/>
    <w:rsid w:val="006543EB"/>
    <w:rsid w:val="0066356D"/>
    <w:rsid w:val="00663B68"/>
    <w:rsid w:val="00670713"/>
    <w:rsid w:val="00674FAF"/>
    <w:rsid w:val="006864CA"/>
    <w:rsid w:val="00691C25"/>
    <w:rsid w:val="00694413"/>
    <w:rsid w:val="0069555E"/>
    <w:rsid w:val="00695DF6"/>
    <w:rsid w:val="006A1908"/>
    <w:rsid w:val="006A6DDA"/>
    <w:rsid w:val="006B6933"/>
    <w:rsid w:val="006C165F"/>
    <w:rsid w:val="006D44CB"/>
    <w:rsid w:val="006D528C"/>
    <w:rsid w:val="006E1069"/>
    <w:rsid w:val="006E5113"/>
    <w:rsid w:val="006F1945"/>
    <w:rsid w:val="006F700B"/>
    <w:rsid w:val="00700583"/>
    <w:rsid w:val="00701DCA"/>
    <w:rsid w:val="00703F83"/>
    <w:rsid w:val="00705006"/>
    <w:rsid w:val="00717669"/>
    <w:rsid w:val="00721947"/>
    <w:rsid w:val="007362F1"/>
    <w:rsid w:val="00754099"/>
    <w:rsid w:val="00754D44"/>
    <w:rsid w:val="00754D5E"/>
    <w:rsid w:val="00756F3E"/>
    <w:rsid w:val="00756FD9"/>
    <w:rsid w:val="00757B1D"/>
    <w:rsid w:val="007635A9"/>
    <w:rsid w:val="0076588E"/>
    <w:rsid w:val="00766328"/>
    <w:rsid w:val="00773048"/>
    <w:rsid w:val="0077574D"/>
    <w:rsid w:val="00776CB6"/>
    <w:rsid w:val="00780C71"/>
    <w:rsid w:val="0078137F"/>
    <w:rsid w:val="00787420"/>
    <w:rsid w:val="007875E0"/>
    <w:rsid w:val="00794534"/>
    <w:rsid w:val="007D5193"/>
    <w:rsid w:val="007E78E0"/>
    <w:rsid w:val="007F00C7"/>
    <w:rsid w:val="007F1661"/>
    <w:rsid w:val="007F21F9"/>
    <w:rsid w:val="007F738D"/>
    <w:rsid w:val="00801BDF"/>
    <w:rsid w:val="008111CA"/>
    <w:rsid w:val="008173F1"/>
    <w:rsid w:val="008227C5"/>
    <w:rsid w:val="00830532"/>
    <w:rsid w:val="00832C73"/>
    <w:rsid w:val="008332B9"/>
    <w:rsid w:val="00835B69"/>
    <w:rsid w:val="00836C26"/>
    <w:rsid w:val="00840A0A"/>
    <w:rsid w:val="00842C06"/>
    <w:rsid w:val="00843D07"/>
    <w:rsid w:val="00846F37"/>
    <w:rsid w:val="00857A31"/>
    <w:rsid w:val="00863299"/>
    <w:rsid w:val="00863A8E"/>
    <w:rsid w:val="00863EE6"/>
    <w:rsid w:val="00867170"/>
    <w:rsid w:val="00873C2B"/>
    <w:rsid w:val="008747AD"/>
    <w:rsid w:val="00874A81"/>
    <w:rsid w:val="008934E8"/>
    <w:rsid w:val="0089390F"/>
    <w:rsid w:val="008A2C72"/>
    <w:rsid w:val="008B03F6"/>
    <w:rsid w:val="008B2C00"/>
    <w:rsid w:val="008B2FC9"/>
    <w:rsid w:val="008C4214"/>
    <w:rsid w:val="008C5094"/>
    <w:rsid w:val="008D0188"/>
    <w:rsid w:val="008E28DC"/>
    <w:rsid w:val="008E5CDA"/>
    <w:rsid w:val="008F601B"/>
    <w:rsid w:val="009040C1"/>
    <w:rsid w:val="00911B35"/>
    <w:rsid w:val="00912F06"/>
    <w:rsid w:val="0091476E"/>
    <w:rsid w:val="00923CC6"/>
    <w:rsid w:val="00934957"/>
    <w:rsid w:val="009352D3"/>
    <w:rsid w:val="00936E80"/>
    <w:rsid w:val="00960D12"/>
    <w:rsid w:val="009643EA"/>
    <w:rsid w:val="0098455D"/>
    <w:rsid w:val="009901D5"/>
    <w:rsid w:val="0099052D"/>
    <w:rsid w:val="00991538"/>
    <w:rsid w:val="00994E69"/>
    <w:rsid w:val="00996AAE"/>
    <w:rsid w:val="009A0A66"/>
    <w:rsid w:val="009A2CCE"/>
    <w:rsid w:val="009A3959"/>
    <w:rsid w:val="009A4F7B"/>
    <w:rsid w:val="009A749F"/>
    <w:rsid w:val="009B0586"/>
    <w:rsid w:val="009B245D"/>
    <w:rsid w:val="009B3C6F"/>
    <w:rsid w:val="009B40CF"/>
    <w:rsid w:val="009B4EE5"/>
    <w:rsid w:val="009C43DF"/>
    <w:rsid w:val="009C5397"/>
    <w:rsid w:val="009D3248"/>
    <w:rsid w:val="009D3FCE"/>
    <w:rsid w:val="009D773E"/>
    <w:rsid w:val="009F7D9F"/>
    <w:rsid w:val="00A0032D"/>
    <w:rsid w:val="00A02899"/>
    <w:rsid w:val="00A03706"/>
    <w:rsid w:val="00A03800"/>
    <w:rsid w:val="00A05941"/>
    <w:rsid w:val="00A1166B"/>
    <w:rsid w:val="00A125E0"/>
    <w:rsid w:val="00A13FE7"/>
    <w:rsid w:val="00A14E28"/>
    <w:rsid w:val="00A17C59"/>
    <w:rsid w:val="00A37F2A"/>
    <w:rsid w:val="00A43695"/>
    <w:rsid w:val="00A529B6"/>
    <w:rsid w:val="00A54911"/>
    <w:rsid w:val="00A556CD"/>
    <w:rsid w:val="00A616C0"/>
    <w:rsid w:val="00A659B7"/>
    <w:rsid w:val="00A75C7F"/>
    <w:rsid w:val="00A82699"/>
    <w:rsid w:val="00A82FBC"/>
    <w:rsid w:val="00A860C9"/>
    <w:rsid w:val="00A92768"/>
    <w:rsid w:val="00AA691A"/>
    <w:rsid w:val="00AB1D0E"/>
    <w:rsid w:val="00AB3FAD"/>
    <w:rsid w:val="00AC4E3F"/>
    <w:rsid w:val="00AE14CD"/>
    <w:rsid w:val="00AE2E6A"/>
    <w:rsid w:val="00AE3009"/>
    <w:rsid w:val="00AF2E77"/>
    <w:rsid w:val="00AF3A82"/>
    <w:rsid w:val="00AF61AD"/>
    <w:rsid w:val="00AF7A84"/>
    <w:rsid w:val="00B122B9"/>
    <w:rsid w:val="00B17D7D"/>
    <w:rsid w:val="00B3010E"/>
    <w:rsid w:val="00B313E3"/>
    <w:rsid w:val="00B33869"/>
    <w:rsid w:val="00B33A2D"/>
    <w:rsid w:val="00B35A48"/>
    <w:rsid w:val="00B45D81"/>
    <w:rsid w:val="00B5587F"/>
    <w:rsid w:val="00B56B5C"/>
    <w:rsid w:val="00B57194"/>
    <w:rsid w:val="00B661B9"/>
    <w:rsid w:val="00B70509"/>
    <w:rsid w:val="00B707D0"/>
    <w:rsid w:val="00B7305A"/>
    <w:rsid w:val="00B84BEE"/>
    <w:rsid w:val="00B86772"/>
    <w:rsid w:val="00BA0082"/>
    <w:rsid w:val="00BA0A94"/>
    <w:rsid w:val="00BA0C2D"/>
    <w:rsid w:val="00BA595B"/>
    <w:rsid w:val="00BA5AA2"/>
    <w:rsid w:val="00BB3E44"/>
    <w:rsid w:val="00BC383B"/>
    <w:rsid w:val="00BC7090"/>
    <w:rsid w:val="00BD59FD"/>
    <w:rsid w:val="00BE26AA"/>
    <w:rsid w:val="00C0500F"/>
    <w:rsid w:val="00C13F55"/>
    <w:rsid w:val="00C15687"/>
    <w:rsid w:val="00C1608D"/>
    <w:rsid w:val="00C368D5"/>
    <w:rsid w:val="00C37139"/>
    <w:rsid w:val="00C37A92"/>
    <w:rsid w:val="00C43B01"/>
    <w:rsid w:val="00C44A98"/>
    <w:rsid w:val="00C4544E"/>
    <w:rsid w:val="00C46CC7"/>
    <w:rsid w:val="00C55434"/>
    <w:rsid w:val="00C57014"/>
    <w:rsid w:val="00C666D8"/>
    <w:rsid w:val="00C83A3A"/>
    <w:rsid w:val="00C864E1"/>
    <w:rsid w:val="00C91C83"/>
    <w:rsid w:val="00C91CA0"/>
    <w:rsid w:val="00C9468D"/>
    <w:rsid w:val="00CA2639"/>
    <w:rsid w:val="00CA58B7"/>
    <w:rsid w:val="00CA6949"/>
    <w:rsid w:val="00CB1734"/>
    <w:rsid w:val="00CB79E6"/>
    <w:rsid w:val="00CC08C3"/>
    <w:rsid w:val="00CC13F3"/>
    <w:rsid w:val="00CC35A9"/>
    <w:rsid w:val="00CD59D1"/>
    <w:rsid w:val="00CD59F0"/>
    <w:rsid w:val="00CD6591"/>
    <w:rsid w:val="00CE1208"/>
    <w:rsid w:val="00CE2282"/>
    <w:rsid w:val="00CF1C8B"/>
    <w:rsid w:val="00CF3228"/>
    <w:rsid w:val="00CF46D4"/>
    <w:rsid w:val="00D00E90"/>
    <w:rsid w:val="00D02D7D"/>
    <w:rsid w:val="00D042E9"/>
    <w:rsid w:val="00D04523"/>
    <w:rsid w:val="00D046E4"/>
    <w:rsid w:val="00D04F2A"/>
    <w:rsid w:val="00D15C58"/>
    <w:rsid w:val="00D17044"/>
    <w:rsid w:val="00D2442B"/>
    <w:rsid w:val="00D247E1"/>
    <w:rsid w:val="00D365B9"/>
    <w:rsid w:val="00D4341C"/>
    <w:rsid w:val="00D4392E"/>
    <w:rsid w:val="00D50F7D"/>
    <w:rsid w:val="00D511D9"/>
    <w:rsid w:val="00D6384A"/>
    <w:rsid w:val="00D65327"/>
    <w:rsid w:val="00D65753"/>
    <w:rsid w:val="00D65A1B"/>
    <w:rsid w:val="00D71D14"/>
    <w:rsid w:val="00D72C6E"/>
    <w:rsid w:val="00D81C1D"/>
    <w:rsid w:val="00D84014"/>
    <w:rsid w:val="00D95C51"/>
    <w:rsid w:val="00D96805"/>
    <w:rsid w:val="00D96FD0"/>
    <w:rsid w:val="00DA15CE"/>
    <w:rsid w:val="00DA1E1A"/>
    <w:rsid w:val="00DA31ED"/>
    <w:rsid w:val="00DC017F"/>
    <w:rsid w:val="00DC57A2"/>
    <w:rsid w:val="00DD0D2C"/>
    <w:rsid w:val="00DD13FC"/>
    <w:rsid w:val="00DD459A"/>
    <w:rsid w:val="00DD4BD1"/>
    <w:rsid w:val="00DE37F6"/>
    <w:rsid w:val="00DF18BC"/>
    <w:rsid w:val="00DF1BD7"/>
    <w:rsid w:val="00E00F34"/>
    <w:rsid w:val="00E0214C"/>
    <w:rsid w:val="00E04CDF"/>
    <w:rsid w:val="00E121A6"/>
    <w:rsid w:val="00E15155"/>
    <w:rsid w:val="00E164A5"/>
    <w:rsid w:val="00E275BE"/>
    <w:rsid w:val="00E2780D"/>
    <w:rsid w:val="00E27F66"/>
    <w:rsid w:val="00E31C7A"/>
    <w:rsid w:val="00E43052"/>
    <w:rsid w:val="00E43161"/>
    <w:rsid w:val="00E5179F"/>
    <w:rsid w:val="00E53C0C"/>
    <w:rsid w:val="00E54F2D"/>
    <w:rsid w:val="00E63641"/>
    <w:rsid w:val="00E644C8"/>
    <w:rsid w:val="00E7210A"/>
    <w:rsid w:val="00E76ED8"/>
    <w:rsid w:val="00E84193"/>
    <w:rsid w:val="00E85AC5"/>
    <w:rsid w:val="00E94DB1"/>
    <w:rsid w:val="00E952D3"/>
    <w:rsid w:val="00EA0CCB"/>
    <w:rsid w:val="00EB4298"/>
    <w:rsid w:val="00EB56A9"/>
    <w:rsid w:val="00EC02F1"/>
    <w:rsid w:val="00EE5280"/>
    <w:rsid w:val="00EE6523"/>
    <w:rsid w:val="00EE6910"/>
    <w:rsid w:val="00EF0EAC"/>
    <w:rsid w:val="00EF156D"/>
    <w:rsid w:val="00EF39B5"/>
    <w:rsid w:val="00F056CE"/>
    <w:rsid w:val="00F221AA"/>
    <w:rsid w:val="00F27A76"/>
    <w:rsid w:val="00F32A00"/>
    <w:rsid w:val="00F4458C"/>
    <w:rsid w:val="00F51BB8"/>
    <w:rsid w:val="00F51C95"/>
    <w:rsid w:val="00F52039"/>
    <w:rsid w:val="00F527C0"/>
    <w:rsid w:val="00F56768"/>
    <w:rsid w:val="00F627D6"/>
    <w:rsid w:val="00F72871"/>
    <w:rsid w:val="00F75395"/>
    <w:rsid w:val="00F754D5"/>
    <w:rsid w:val="00F80E60"/>
    <w:rsid w:val="00F829B4"/>
    <w:rsid w:val="00F83A87"/>
    <w:rsid w:val="00F90992"/>
    <w:rsid w:val="00F92388"/>
    <w:rsid w:val="00F9365B"/>
    <w:rsid w:val="00F97B9F"/>
    <w:rsid w:val="00FA004F"/>
    <w:rsid w:val="00FA24E9"/>
    <w:rsid w:val="00FA537C"/>
    <w:rsid w:val="00FA73B4"/>
    <w:rsid w:val="00FC2475"/>
    <w:rsid w:val="00FD2389"/>
    <w:rsid w:val="00FE24BB"/>
    <w:rsid w:val="00FE3057"/>
    <w:rsid w:val="00FE51C5"/>
    <w:rsid w:val="00FE7180"/>
    <w:rsid w:val="00FF26F5"/>
    <w:rsid w:val="00FF4DDD"/>
    <w:rsid w:val="00FF5F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E669"/>
  <w15:docId w15:val="{952E9945-F3B1-47D1-8477-0BE242B5C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9B7"/>
  </w:style>
  <w:style w:type="paragraph" w:styleId="Heading1">
    <w:name w:val="heading 1"/>
    <w:basedOn w:val="Normal"/>
    <w:next w:val="Normal"/>
    <w:link w:val="Heading1Char"/>
    <w:uiPriority w:val="9"/>
    <w:qFormat/>
    <w:rsid w:val="003E6FBC"/>
    <w:pPr>
      <w:keepNext/>
      <w:keepLines/>
      <w:numPr>
        <w:numId w:val="33"/>
      </w:numPr>
      <w:spacing w:before="240" w:after="240"/>
      <w:ind w:left="357" w:hanging="357"/>
      <w:outlineLvl w:val="0"/>
    </w:pPr>
    <w:rPr>
      <w:rFonts w:ascii="Times New Roman" w:eastAsiaTheme="majorEastAsia" w:hAnsi="Times New Roman" w:cs="Times New Roman"/>
      <w:b/>
      <w:bCs/>
      <w:color w:val="000000" w:themeColor="text1"/>
      <w:sz w:val="24"/>
      <w:szCs w:val="24"/>
    </w:rPr>
  </w:style>
  <w:style w:type="paragraph" w:styleId="Heading2">
    <w:name w:val="heading 2"/>
    <w:basedOn w:val="Normal"/>
    <w:next w:val="Normal"/>
    <w:link w:val="Heading2Char"/>
    <w:uiPriority w:val="9"/>
    <w:unhideWhenUsed/>
    <w:qFormat/>
    <w:rsid w:val="00D96805"/>
    <w:pPr>
      <w:keepNext/>
      <w:keepLines/>
      <w:numPr>
        <w:ilvl w:val="1"/>
        <w:numId w:val="33"/>
      </w:numPr>
      <w:spacing w:before="240" w:after="120"/>
      <w:ind w:left="426" w:hanging="426"/>
      <w:outlineLvl w:val="1"/>
    </w:pPr>
    <w:rPr>
      <w:rFonts w:ascii="Times New Roman" w:eastAsiaTheme="majorEastAsia" w:hAnsi="Times New Roman" w:cs="Times New Roman"/>
      <w:b/>
      <w:bCs/>
      <w:i/>
      <w:iCs/>
      <w:color w:val="000000" w:themeColor="text1"/>
      <w:sz w:val="24"/>
      <w:szCs w:val="24"/>
    </w:rPr>
  </w:style>
  <w:style w:type="paragraph" w:styleId="Heading3">
    <w:name w:val="heading 3"/>
    <w:basedOn w:val="Normal"/>
    <w:next w:val="Normal"/>
    <w:link w:val="Heading3Char"/>
    <w:uiPriority w:val="9"/>
    <w:unhideWhenUsed/>
    <w:qFormat/>
    <w:rsid w:val="005A41C2"/>
    <w:pPr>
      <w:keepNext/>
      <w:keepLines/>
      <w:spacing w:before="240" w:after="100"/>
      <w:outlineLvl w:val="2"/>
    </w:pPr>
    <w:rPr>
      <w:rFonts w:ascii="Times New Roman" w:eastAsiaTheme="majorEastAsia" w:hAnsi="Times New Roman" w:cs="Times New Roman"/>
      <w:i/>
      <w:i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94534"/>
    <w:pPr>
      <w:suppressAutoHyphens/>
      <w:autoSpaceDN w:val="0"/>
      <w:spacing w:line="256" w:lineRule="auto"/>
      <w:ind w:left="720"/>
      <w:contextualSpacing/>
    </w:pPr>
    <w:rPr>
      <w:rFonts w:ascii="Calibri" w:eastAsia="Calibri" w:hAnsi="Calibri" w:cs="F"/>
    </w:rPr>
  </w:style>
  <w:style w:type="numbering" w:customStyle="1" w:styleId="WWNum3">
    <w:name w:val="WWNum3"/>
    <w:rsid w:val="00794534"/>
    <w:pPr>
      <w:numPr>
        <w:numId w:val="1"/>
      </w:numPr>
    </w:pPr>
  </w:style>
  <w:style w:type="character" w:customStyle="1" w:styleId="Heading1Char">
    <w:name w:val="Heading 1 Char"/>
    <w:basedOn w:val="DefaultParagraphFont"/>
    <w:link w:val="Heading1"/>
    <w:uiPriority w:val="9"/>
    <w:rsid w:val="003E6FBC"/>
    <w:rPr>
      <w:rFonts w:ascii="Times New Roman" w:eastAsiaTheme="majorEastAsia" w:hAnsi="Times New Roman" w:cs="Times New Roman"/>
      <w:b/>
      <w:bCs/>
      <w:color w:val="000000" w:themeColor="text1"/>
      <w:sz w:val="24"/>
      <w:szCs w:val="24"/>
    </w:rPr>
  </w:style>
  <w:style w:type="character" w:customStyle="1" w:styleId="Heading2Char">
    <w:name w:val="Heading 2 Char"/>
    <w:basedOn w:val="DefaultParagraphFont"/>
    <w:link w:val="Heading2"/>
    <w:uiPriority w:val="9"/>
    <w:rsid w:val="00D96805"/>
    <w:rPr>
      <w:rFonts w:ascii="Times New Roman" w:eastAsiaTheme="majorEastAsia" w:hAnsi="Times New Roman" w:cs="Times New Roman"/>
      <w:b/>
      <w:bCs/>
      <w:i/>
      <w:iCs/>
      <w:color w:val="000000" w:themeColor="text1"/>
      <w:sz w:val="24"/>
      <w:szCs w:val="24"/>
    </w:rPr>
  </w:style>
  <w:style w:type="paragraph" w:styleId="BodyText">
    <w:name w:val="Body Text"/>
    <w:basedOn w:val="Normal"/>
    <w:link w:val="BodyTextChar"/>
    <w:uiPriority w:val="99"/>
    <w:unhideWhenUsed/>
    <w:rsid w:val="00CB79E6"/>
    <w:pPr>
      <w:spacing w:after="140" w:line="360" w:lineRule="auto"/>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CB79E6"/>
    <w:rPr>
      <w:rFonts w:ascii="Times New Roman" w:hAnsi="Times New Roman" w:cs="Times New Roman"/>
      <w:sz w:val="24"/>
      <w:szCs w:val="24"/>
    </w:rPr>
  </w:style>
  <w:style w:type="character" w:styleId="Hyperlink">
    <w:name w:val="Hyperlink"/>
    <w:basedOn w:val="DefaultParagraphFont"/>
    <w:uiPriority w:val="99"/>
    <w:unhideWhenUsed/>
    <w:rsid w:val="00BC7090"/>
    <w:rPr>
      <w:color w:val="0563C1" w:themeColor="hyperlink"/>
      <w:u w:val="single"/>
    </w:rPr>
  </w:style>
  <w:style w:type="character" w:styleId="FollowedHyperlink">
    <w:name w:val="FollowedHyperlink"/>
    <w:basedOn w:val="DefaultParagraphFont"/>
    <w:uiPriority w:val="99"/>
    <w:semiHidden/>
    <w:unhideWhenUsed/>
    <w:rsid w:val="00BC7090"/>
    <w:rPr>
      <w:color w:val="954F72" w:themeColor="followedHyperlink"/>
      <w:u w:val="single"/>
    </w:rPr>
  </w:style>
  <w:style w:type="paragraph" w:styleId="FootnoteText">
    <w:name w:val="footnote text"/>
    <w:basedOn w:val="Normal"/>
    <w:link w:val="FootnoteTextChar"/>
    <w:uiPriority w:val="99"/>
    <w:unhideWhenUsed/>
    <w:rsid w:val="0012216A"/>
    <w:pPr>
      <w:spacing w:after="40" w:line="240" w:lineRule="auto"/>
      <w:ind w:left="284" w:hanging="284"/>
    </w:pPr>
    <w:rPr>
      <w:rFonts w:ascii="Times New Roman" w:hAnsi="Times New Roman" w:cs="Times New Roman"/>
      <w:sz w:val="20"/>
      <w:szCs w:val="20"/>
    </w:rPr>
  </w:style>
  <w:style w:type="character" w:customStyle="1" w:styleId="FootnoteTextChar">
    <w:name w:val="Footnote Text Char"/>
    <w:basedOn w:val="DefaultParagraphFont"/>
    <w:link w:val="FootnoteText"/>
    <w:uiPriority w:val="99"/>
    <w:rsid w:val="0012216A"/>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113E4B"/>
    <w:rPr>
      <w:vertAlign w:val="superscript"/>
    </w:rPr>
  </w:style>
  <w:style w:type="character" w:styleId="UnresolvedMention">
    <w:name w:val="Unresolved Mention"/>
    <w:basedOn w:val="DefaultParagraphFont"/>
    <w:uiPriority w:val="99"/>
    <w:semiHidden/>
    <w:unhideWhenUsed/>
    <w:rsid w:val="00194808"/>
    <w:rPr>
      <w:color w:val="605E5C"/>
      <w:shd w:val="clear" w:color="auto" w:fill="E1DFDD"/>
    </w:rPr>
  </w:style>
  <w:style w:type="paragraph" w:styleId="EndnoteText">
    <w:name w:val="endnote text"/>
    <w:basedOn w:val="Normal"/>
    <w:link w:val="EndnoteTextChar"/>
    <w:uiPriority w:val="99"/>
    <w:semiHidden/>
    <w:unhideWhenUsed/>
    <w:rsid w:val="00D96F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6FD0"/>
    <w:rPr>
      <w:sz w:val="20"/>
      <w:szCs w:val="20"/>
    </w:rPr>
  </w:style>
  <w:style w:type="character" w:styleId="EndnoteReference">
    <w:name w:val="endnote reference"/>
    <w:basedOn w:val="DefaultParagraphFont"/>
    <w:uiPriority w:val="99"/>
    <w:semiHidden/>
    <w:unhideWhenUsed/>
    <w:rsid w:val="00D96FD0"/>
    <w:rPr>
      <w:vertAlign w:val="superscript"/>
    </w:rPr>
  </w:style>
  <w:style w:type="paragraph" w:styleId="TOCHeading">
    <w:name w:val="TOC Heading"/>
    <w:basedOn w:val="Heading1"/>
    <w:next w:val="Normal"/>
    <w:uiPriority w:val="39"/>
    <w:unhideWhenUsed/>
    <w:qFormat/>
    <w:rsid w:val="003479E3"/>
    <w:pPr>
      <w:numPr>
        <w:numId w:val="0"/>
      </w:numPr>
      <w:spacing w:before="0" w:after="0" w:line="240" w:lineRule="auto"/>
      <w:outlineLvl w:val="9"/>
    </w:pPr>
    <w:rPr>
      <w:rFonts w:asciiTheme="minorHAnsi" w:eastAsiaTheme="minorHAnsi" w:hAnsiTheme="minorHAnsi" w:cstheme="minorBidi"/>
      <w:b w:val="0"/>
      <w:bCs w:val="0"/>
      <w:color w:val="auto"/>
      <w:sz w:val="28"/>
      <w:szCs w:val="28"/>
    </w:rPr>
  </w:style>
  <w:style w:type="paragraph" w:styleId="TOC1">
    <w:name w:val="toc 1"/>
    <w:basedOn w:val="Normal"/>
    <w:next w:val="Normal"/>
    <w:autoRedefine/>
    <w:uiPriority w:val="39"/>
    <w:unhideWhenUsed/>
    <w:rsid w:val="009B0586"/>
    <w:pPr>
      <w:tabs>
        <w:tab w:val="right" w:leader="dot" w:pos="9016"/>
      </w:tabs>
      <w:spacing w:before="20" w:after="0" w:line="240" w:lineRule="auto"/>
    </w:pPr>
    <w:rPr>
      <w:noProof/>
    </w:rPr>
  </w:style>
  <w:style w:type="paragraph" w:styleId="TOC2">
    <w:name w:val="toc 2"/>
    <w:basedOn w:val="Normal"/>
    <w:next w:val="Normal"/>
    <w:autoRedefine/>
    <w:uiPriority w:val="39"/>
    <w:unhideWhenUsed/>
    <w:rsid w:val="009B0586"/>
    <w:pPr>
      <w:tabs>
        <w:tab w:val="right" w:leader="dot" w:pos="9016"/>
      </w:tabs>
      <w:spacing w:after="0" w:line="240" w:lineRule="auto"/>
      <w:ind w:left="221"/>
    </w:pPr>
    <w:rPr>
      <w:noProof/>
    </w:rPr>
  </w:style>
  <w:style w:type="character" w:styleId="CommentReference">
    <w:name w:val="annotation reference"/>
    <w:basedOn w:val="DefaultParagraphFont"/>
    <w:uiPriority w:val="99"/>
    <w:semiHidden/>
    <w:unhideWhenUsed/>
    <w:rsid w:val="000832E0"/>
    <w:rPr>
      <w:sz w:val="16"/>
      <w:szCs w:val="16"/>
    </w:rPr>
  </w:style>
  <w:style w:type="paragraph" w:styleId="CommentText">
    <w:name w:val="annotation text"/>
    <w:basedOn w:val="Normal"/>
    <w:link w:val="CommentTextChar"/>
    <w:uiPriority w:val="99"/>
    <w:unhideWhenUsed/>
    <w:rsid w:val="000832E0"/>
    <w:pPr>
      <w:spacing w:line="240" w:lineRule="auto"/>
    </w:pPr>
    <w:rPr>
      <w:sz w:val="20"/>
      <w:szCs w:val="20"/>
    </w:rPr>
  </w:style>
  <w:style w:type="character" w:customStyle="1" w:styleId="CommentTextChar">
    <w:name w:val="Comment Text Char"/>
    <w:basedOn w:val="DefaultParagraphFont"/>
    <w:link w:val="CommentText"/>
    <w:uiPriority w:val="99"/>
    <w:rsid w:val="000832E0"/>
    <w:rPr>
      <w:sz w:val="20"/>
      <w:szCs w:val="20"/>
    </w:rPr>
  </w:style>
  <w:style w:type="paragraph" w:styleId="CommentSubject">
    <w:name w:val="annotation subject"/>
    <w:basedOn w:val="CommentText"/>
    <w:next w:val="CommentText"/>
    <w:link w:val="CommentSubjectChar"/>
    <w:uiPriority w:val="99"/>
    <w:semiHidden/>
    <w:unhideWhenUsed/>
    <w:rsid w:val="000832E0"/>
    <w:rPr>
      <w:b/>
      <w:bCs/>
    </w:rPr>
  </w:style>
  <w:style w:type="character" w:customStyle="1" w:styleId="CommentSubjectChar">
    <w:name w:val="Comment Subject Char"/>
    <w:basedOn w:val="CommentTextChar"/>
    <w:link w:val="CommentSubject"/>
    <w:uiPriority w:val="99"/>
    <w:semiHidden/>
    <w:rsid w:val="000832E0"/>
    <w:rPr>
      <w:b/>
      <w:bCs/>
      <w:sz w:val="20"/>
      <w:szCs w:val="20"/>
    </w:rPr>
  </w:style>
  <w:style w:type="table" w:styleId="TableGrid">
    <w:name w:val="Table Grid"/>
    <w:basedOn w:val="TableNormal"/>
    <w:uiPriority w:val="39"/>
    <w:rsid w:val="002E5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A53C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0A53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0E4EFF"/>
    <w:pPr>
      <w:keepNext/>
      <w:spacing w:after="40" w:line="240" w:lineRule="auto"/>
    </w:pPr>
    <w:rPr>
      <w:i/>
      <w:iCs/>
      <w:color w:val="000000" w:themeColor="text1"/>
    </w:rPr>
  </w:style>
  <w:style w:type="paragraph" w:customStyle="1" w:styleId="AfterTableGap">
    <w:name w:val="AfterTableGap"/>
    <w:basedOn w:val="Normal"/>
    <w:qFormat/>
    <w:rsid w:val="00FA73B4"/>
    <w:pPr>
      <w:spacing w:after="0"/>
    </w:pPr>
  </w:style>
  <w:style w:type="character" w:customStyle="1" w:styleId="Heading3Char">
    <w:name w:val="Heading 3 Char"/>
    <w:basedOn w:val="DefaultParagraphFont"/>
    <w:link w:val="Heading3"/>
    <w:uiPriority w:val="9"/>
    <w:rsid w:val="005A41C2"/>
    <w:rPr>
      <w:rFonts w:ascii="Times New Roman" w:eastAsiaTheme="majorEastAsia" w:hAnsi="Times New Roman" w:cs="Times New Roman"/>
      <w:i/>
      <w:iCs/>
      <w:color w:val="000000" w:themeColor="text1"/>
      <w:sz w:val="24"/>
      <w:szCs w:val="24"/>
    </w:rPr>
  </w:style>
  <w:style w:type="table" w:styleId="PlainTable1">
    <w:name w:val="Plain Table 1"/>
    <w:basedOn w:val="TableNormal"/>
    <w:uiPriority w:val="41"/>
    <w:rsid w:val="009C53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C53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TextBeforeTable">
    <w:name w:val="BodyTextBeforeTable"/>
    <w:basedOn w:val="BodyText"/>
    <w:qFormat/>
    <w:rsid w:val="0036636A"/>
    <w:pPr>
      <w:spacing w:after="40"/>
    </w:pPr>
  </w:style>
  <w:style w:type="character" w:customStyle="1" w:styleId="author">
    <w:name w:val="author"/>
    <w:basedOn w:val="DefaultParagraphFont"/>
    <w:rsid w:val="000826D9"/>
  </w:style>
  <w:style w:type="character" w:customStyle="1" w:styleId="pubyear">
    <w:name w:val="pubyear"/>
    <w:basedOn w:val="DefaultParagraphFont"/>
    <w:rsid w:val="000826D9"/>
  </w:style>
  <w:style w:type="character" w:customStyle="1" w:styleId="articletitle">
    <w:name w:val="articletitle"/>
    <w:basedOn w:val="DefaultParagraphFont"/>
    <w:rsid w:val="000826D9"/>
  </w:style>
  <w:style w:type="character" w:customStyle="1" w:styleId="vol">
    <w:name w:val="vol"/>
    <w:basedOn w:val="DefaultParagraphFont"/>
    <w:rsid w:val="000826D9"/>
  </w:style>
  <w:style w:type="character" w:customStyle="1" w:styleId="pagefirst">
    <w:name w:val="pagefirst"/>
    <w:basedOn w:val="DefaultParagraphFont"/>
    <w:rsid w:val="000826D9"/>
  </w:style>
  <w:style w:type="character" w:customStyle="1" w:styleId="pagelast">
    <w:name w:val="pagelast"/>
    <w:basedOn w:val="DefaultParagraphFont"/>
    <w:rsid w:val="000826D9"/>
  </w:style>
  <w:style w:type="paragraph" w:customStyle="1" w:styleId="ListParagraphBullets">
    <w:name w:val="ListParagraph_Bullets"/>
    <w:basedOn w:val="ListParagraph"/>
    <w:qFormat/>
    <w:rsid w:val="00CB79E6"/>
    <w:pPr>
      <w:numPr>
        <w:numId w:val="19"/>
      </w:numPr>
      <w:ind w:left="284" w:hanging="284"/>
    </w:pPr>
    <w:rPr>
      <w:rFonts w:ascii="Times New Roman" w:hAnsi="Times New Roman" w:cs="Times New Roman"/>
      <w:sz w:val="24"/>
      <w:szCs w:val="24"/>
    </w:rPr>
  </w:style>
  <w:style w:type="paragraph" w:customStyle="1" w:styleId="ListParagraphabc">
    <w:name w:val="ListParagraph_abc"/>
    <w:basedOn w:val="ListParagraph"/>
    <w:qFormat/>
    <w:rsid w:val="00CB79E6"/>
    <w:pPr>
      <w:numPr>
        <w:numId w:val="17"/>
      </w:numPr>
      <w:ind w:left="284" w:hanging="284"/>
    </w:pPr>
    <w:rPr>
      <w:rFonts w:ascii="Times New Roman" w:hAnsi="Times New Roman" w:cs="Times New Roman"/>
      <w:sz w:val="24"/>
      <w:szCs w:val="24"/>
    </w:rPr>
  </w:style>
  <w:style w:type="paragraph" w:customStyle="1" w:styleId="FigureCaption">
    <w:name w:val="Figure_Caption"/>
    <w:basedOn w:val="Caption"/>
    <w:qFormat/>
    <w:rsid w:val="00E31C7A"/>
    <w:pPr>
      <w:keepNext w:val="0"/>
      <w:spacing w:after="360"/>
    </w:pPr>
    <w:rPr>
      <w:rFonts w:ascii="Times New Roman" w:hAnsi="Times New Roman" w:cs="Times New Roman"/>
      <w:sz w:val="24"/>
      <w:szCs w:val="24"/>
    </w:rPr>
  </w:style>
  <w:style w:type="paragraph" w:customStyle="1" w:styleId="TableCaption">
    <w:name w:val="TableCaption"/>
    <w:basedOn w:val="Caption"/>
    <w:qFormat/>
    <w:rsid w:val="00CB79E6"/>
    <w:pPr>
      <w:spacing w:after="80"/>
    </w:pPr>
    <w:rPr>
      <w:rFonts w:ascii="Times New Roman" w:hAnsi="Times New Roman" w:cs="Times New Roman"/>
      <w:sz w:val="24"/>
      <w:szCs w:val="24"/>
    </w:rPr>
  </w:style>
  <w:style w:type="paragraph" w:customStyle="1" w:styleId="TableText">
    <w:name w:val="TableText"/>
    <w:basedOn w:val="Normal"/>
    <w:qFormat/>
    <w:rsid w:val="00455569"/>
    <w:pPr>
      <w:keepNext/>
      <w:spacing w:before="20" w:after="20" w:line="240" w:lineRule="auto"/>
    </w:pPr>
    <w:rPr>
      <w:rFonts w:ascii="Times New Roman" w:hAnsi="Times New Roman"/>
    </w:rPr>
  </w:style>
  <w:style w:type="paragraph" w:styleId="Header">
    <w:name w:val="header"/>
    <w:basedOn w:val="Normal"/>
    <w:link w:val="HeaderChar"/>
    <w:uiPriority w:val="99"/>
    <w:unhideWhenUsed/>
    <w:rsid w:val="009A0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0A66"/>
  </w:style>
  <w:style w:type="paragraph" w:styleId="Footer">
    <w:name w:val="footer"/>
    <w:basedOn w:val="Normal"/>
    <w:link w:val="FooterChar"/>
    <w:uiPriority w:val="99"/>
    <w:unhideWhenUsed/>
    <w:rsid w:val="009A0A66"/>
    <w:pPr>
      <w:tabs>
        <w:tab w:val="center" w:pos="4513"/>
        <w:tab w:val="right" w:pos="9026"/>
      </w:tabs>
      <w:spacing w:after="0" w:line="240" w:lineRule="auto"/>
      <w:jc w:val="center"/>
    </w:pPr>
    <w:rPr>
      <w:rFonts w:ascii="Times New Roman" w:hAnsi="Times New Roman" w:cs="Times New Roman"/>
      <w:sz w:val="20"/>
      <w:szCs w:val="20"/>
    </w:rPr>
  </w:style>
  <w:style w:type="character" w:customStyle="1" w:styleId="FooterChar">
    <w:name w:val="Footer Char"/>
    <w:basedOn w:val="DefaultParagraphFont"/>
    <w:link w:val="Footer"/>
    <w:uiPriority w:val="99"/>
    <w:rsid w:val="009A0A66"/>
    <w:rPr>
      <w:rFonts w:ascii="Times New Roman" w:hAnsi="Times New Roman" w:cs="Times New Roman"/>
      <w:sz w:val="20"/>
      <w:szCs w:val="20"/>
    </w:rPr>
  </w:style>
  <w:style w:type="paragraph" w:styleId="TOC3">
    <w:name w:val="toc 3"/>
    <w:basedOn w:val="Normal"/>
    <w:next w:val="Normal"/>
    <w:autoRedefine/>
    <w:uiPriority w:val="39"/>
    <w:unhideWhenUsed/>
    <w:rsid w:val="00B33A2D"/>
    <w:pPr>
      <w:spacing w:after="100"/>
      <w:ind w:left="440"/>
    </w:pPr>
  </w:style>
  <w:style w:type="paragraph" w:customStyle="1" w:styleId="WorkFlowList">
    <w:name w:val="WorkFlowList"/>
    <w:basedOn w:val="BodyText"/>
    <w:qFormat/>
    <w:rsid w:val="0012216A"/>
    <w:pPr>
      <w:numPr>
        <w:numId w:val="27"/>
      </w:numPr>
      <w:spacing w:after="120" w:line="300" w:lineRule="auto"/>
      <w:ind w:left="284" w:hanging="284"/>
    </w:pPr>
  </w:style>
  <w:style w:type="character" w:styleId="PlaceholderText">
    <w:name w:val="Placeholder Text"/>
    <w:basedOn w:val="DefaultParagraphFont"/>
    <w:uiPriority w:val="99"/>
    <w:semiHidden/>
    <w:rsid w:val="00BA595B"/>
    <w:rPr>
      <w:color w:val="808080"/>
    </w:rPr>
  </w:style>
  <w:style w:type="paragraph" w:customStyle="1" w:styleId="TableFootnote">
    <w:name w:val="TableFootnote"/>
    <w:basedOn w:val="BodyText"/>
    <w:qFormat/>
    <w:rsid w:val="00557DBE"/>
    <w:pPr>
      <w:spacing w:before="60" w:line="240" w:lineRule="auto"/>
      <w:ind w:left="284" w:hanging="284"/>
    </w:pPr>
    <w:rPr>
      <w:i/>
      <w:iCs/>
      <w:sz w:val="22"/>
      <w:szCs w:val="22"/>
      <w:lang w:eastAsia="en-GB"/>
    </w:rPr>
  </w:style>
  <w:style w:type="paragraph" w:styleId="Title">
    <w:name w:val="Title"/>
    <w:basedOn w:val="Normal"/>
    <w:next w:val="Normal"/>
    <w:link w:val="TitleChar"/>
    <w:uiPriority w:val="10"/>
    <w:qFormat/>
    <w:rsid w:val="009B0586"/>
    <w:pPr>
      <w:spacing w:after="120" w:line="240" w:lineRule="auto"/>
      <w:contextualSpacing/>
    </w:pPr>
    <w:rPr>
      <w:rFonts w:asciiTheme="majorHAnsi" w:eastAsiaTheme="majorEastAsia" w:hAnsiTheme="majorHAnsi" w:cstheme="majorBidi"/>
      <w:spacing w:val="-10"/>
      <w:kern w:val="28"/>
      <w:sz w:val="32"/>
      <w:szCs w:val="32"/>
    </w:rPr>
  </w:style>
  <w:style w:type="character" w:customStyle="1" w:styleId="TitleChar">
    <w:name w:val="Title Char"/>
    <w:basedOn w:val="DefaultParagraphFont"/>
    <w:link w:val="Title"/>
    <w:uiPriority w:val="10"/>
    <w:rsid w:val="009B0586"/>
    <w:rPr>
      <w:rFonts w:asciiTheme="majorHAnsi" w:eastAsiaTheme="majorEastAsia" w:hAnsiTheme="majorHAnsi" w:cstheme="majorBidi"/>
      <w:spacing w:val="-10"/>
      <w:kern w:val="28"/>
      <w:sz w:val="32"/>
      <w:szCs w:val="32"/>
    </w:rPr>
  </w:style>
  <w:style w:type="paragraph" w:customStyle="1" w:styleId="Standard">
    <w:name w:val="Standard"/>
    <w:rsid w:val="00705006"/>
    <w:pPr>
      <w:suppressAutoHyphens/>
      <w:autoSpaceDN w:val="0"/>
      <w:spacing w:line="256" w:lineRule="auto"/>
      <w:textAlignment w:val="baseline"/>
    </w:pPr>
    <w:rPr>
      <w:rFonts w:ascii="Calibri" w:eastAsia="Calibri" w:hAnsi="Calibri" w:cs="F"/>
    </w:rPr>
  </w:style>
  <w:style w:type="paragraph" w:styleId="TableofFigures">
    <w:name w:val="table of figures"/>
    <w:basedOn w:val="Normal"/>
    <w:next w:val="Normal"/>
    <w:uiPriority w:val="99"/>
    <w:unhideWhenUsed/>
    <w:rsid w:val="009B0586"/>
    <w:pPr>
      <w:tabs>
        <w:tab w:val="right" w:leader="dot" w:pos="9016"/>
      </w:tabs>
      <w:spacing w:after="0" w:line="240" w:lineRule="auto"/>
    </w:pPr>
    <w:rPr>
      <w:noProof/>
    </w:rPr>
  </w:style>
  <w:style w:type="paragraph" w:styleId="ListBullet">
    <w:name w:val="List Bullet"/>
    <w:basedOn w:val="Normal"/>
    <w:uiPriority w:val="99"/>
    <w:unhideWhenUsed/>
    <w:rsid w:val="00A659B7"/>
    <w:pPr>
      <w:numPr>
        <w:numId w:val="4"/>
      </w:numPr>
      <w:tabs>
        <w:tab w:val="clear" w:pos="360"/>
      </w:tabs>
      <w:spacing w:line="360" w:lineRule="auto"/>
      <w:ind w:left="284" w:hanging="284"/>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56912">
      <w:bodyDiv w:val="1"/>
      <w:marLeft w:val="0"/>
      <w:marRight w:val="0"/>
      <w:marTop w:val="0"/>
      <w:marBottom w:val="0"/>
      <w:divBdr>
        <w:top w:val="none" w:sz="0" w:space="0" w:color="auto"/>
        <w:left w:val="none" w:sz="0" w:space="0" w:color="auto"/>
        <w:bottom w:val="none" w:sz="0" w:space="0" w:color="auto"/>
        <w:right w:val="none" w:sz="0" w:space="0" w:color="auto"/>
      </w:divBdr>
    </w:div>
    <w:div w:id="353961828">
      <w:bodyDiv w:val="1"/>
      <w:marLeft w:val="0"/>
      <w:marRight w:val="0"/>
      <w:marTop w:val="0"/>
      <w:marBottom w:val="0"/>
      <w:divBdr>
        <w:top w:val="none" w:sz="0" w:space="0" w:color="auto"/>
        <w:left w:val="none" w:sz="0" w:space="0" w:color="auto"/>
        <w:bottom w:val="none" w:sz="0" w:space="0" w:color="auto"/>
        <w:right w:val="none" w:sz="0" w:space="0" w:color="auto"/>
      </w:divBdr>
    </w:div>
    <w:div w:id="456066996">
      <w:bodyDiv w:val="1"/>
      <w:marLeft w:val="0"/>
      <w:marRight w:val="0"/>
      <w:marTop w:val="0"/>
      <w:marBottom w:val="0"/>
      <w:divBdr>
        <w:top w:val="none" w:sz="0" w:space="0" w:color="auto"/>
        <w:left w:val="none" w:sz="0" w:space="0" w:color="auto"/>
        <w:bottom w:val="none" w:sz="0" w:space="0" w:color="auto"/>
        <w:right w:val="none" w:sz="0" w:space="0" w:color="auto"/>
      </w:divBdr>
    </w:div>
    <w:div w:id="507208723">
      <w:bodyDiv w:val="1"/>
      <w:marLeft w:val="0"/>
      <w:marRight w:val="0"/>
      <w:marTop w:val="0"/>
      <w:marBottom w:val="0"/>
      <w:divBdr>
        <w:top w:val="none" w:sz="0" w:space="0" w:color="auto"/>
        <w:left w:val="none" w:sz="0" w:space="0" w:color="auto"/>
        <w:bottom w:val="none" w:sz="0" w:space="0" w:color="auto"/>
        <w:right w:val="none" w:sz="0" w:space="0" w:color="auto"/>
      </w:divBdr>
    </w:div>
    <w:div w:id="536697549">
      <w:bodyDiv w:val="1"/>
      <w:marLeft w:val="0"/>
      <w:marRight w:val="0"/>
      <w:marTop w:val="0"/>
      <w:marBottom w:val="0"/>
      <w:divBdr>
        <w:top w:val="none" w:sz="0" w:space="0" w:color="auto"/>
        <w:left w:val="none" w:sz="0" w:space="0" w:color="auto"/>
        <w:bottom w:val="none" w:sz="0" w:space="0" w:color="auto"/>
        <w:right w:val="none" w:sz="0" w:space="0" w:color="auto"/>
      </w:divBdr>
    </w:div>
    <w:div w:id="656420411">
      <w:bodyDiv w:val="1"/>
      <w:marLeft w:val="0"/>
      <w:marRight w:val="0"/>
      <w:marTop w:val="0"/>
      <w:marBottom w:val="0"/>
      <w:divBdr>
        <w:top w:val="none" w:sz="0" w:space="0" w:color="auto"/>
        <w:left w:val="none" w:sz="0" w:space="0" w:color="auto"/>
        <w:bottom w:val="none" w:sz="0" w:space="0" w:color="auto"/>
        <w:right w:val="none" w:sz="0" w:space="0" w:color="auto"/>
      </w:divBdr>
    </w:div>
    <w:div w:id="869879050">
      <w:bodyDiv w:val="1"/>
      <w:marLeft w:val="0"/>
      <w:marRight w:val="0"/>
      <w:marTop w:val="0"/>
      <w:marBottom w:val="0"/>
      <w:divBdr>
        <w:top w:val="none" w:sz="0" w:space="0" w:color="auto"/>
        <w:left w:val="none" w:sz="0" w:space="0" w:color="auto"/>
        <w:bottom w:val="none" w:sz="0" w:space="0" w:color="auto"/>
        <w:right w:val="none" w:sz="0" w:space="0" w:color="auto"/>
      </w:divBdr>
    </w:div>
    <w:div w:id="997655503">
      <w:bodyDiv w:val="1"/>
      <w:marLeft w:val="0"/>
      <w:marRight w:val="0"/>
      <w:marTop w:val="0"/>
      <w:marBottom w:val="0"/>
      <w:divBdr>
        <w:top w:val="none" w:sz="0" w:space="0" w:color="auto"/>
        <w:left w:val="none" w:sz="0" w:space="0" w:color="auto"/>
        <w:bottom w:val="none" w:sz="0" w:space="0" w:color="auto"/>
        <w:right w:val="none" w:sz="0" w:space="0" w:color="auto"/>
      </w:divBdr>
    </w:div>
    <w:div w:id="1190527978">
      <w:bodyDiv w:val="1"/>
      <w:marLeft w:val="0"/>
      <w:marRight w:val="0"/>
      <w:marTop w:val="0"/>
      <w:marBottom w:val="0"/>
      <w:divBdr>
        <w:top w:val="none" w:sz="0" w:space="0" w:color="auto"/>
        <w:left w:val="none" w:sz="0" w:space="0" w:color="auto"/>
        <w:bottom w:val="none" w:sz="0" w:space="0" w:color="auto"/>
        <w:right w:val="none" w:sz="0" w:space="0" w:color="auto"/>
      </w:divBdr>
    </w:div>
    <w:div w:id="1332373376">
      <w:bodyDiv w:val="1"/>
      <w:marLeft w:val="0"/>
      <w:marRight w:val="0"/>
      <w:marTop w:val="0"/>
      <w:marBottom w:val="0"/>
      <w:divBdr>
        <w:top w:val="none" w:sz="0" w:space="0" w:color="auto"/>
        <w:left w:val="none" w:sz="0" w:space="0" w:color="auto"/>
        <w:bottom w:val="none" w:sz="0" w:space="0" w:color="auto"/>
        <w:right w:val="none" w:sz="0" w:space="0" w:color="auto"/>
      </w:divBdr>
    </w:div>
    <w:div w:id="1334381030">
      <w:bodyDiv w:val="1"/>
      <w:marLeft w:val="0"/>
      <w:marRight w:val="0"/>
      <w:marTop w:val="0"/>
      <w:marBottom w:val="0"/>
      <w:divBdr>
        <w:top w:val="none" w:sz="0" w:space="0" w:color="auto"/>
        <w:left w:val="none" w:sz="0" w:space="0" w:color="auto"/>
        <w:bottom w:val="none" w:sz="0" w:space="0" w:color="auto"/>
        <w:right w:val="none" w:sz="0" w:space="0" w:color="auto"/>
      </w:divBdr>
    </w:div>
    <w:div w:id="1602690024">
      <w:bodyDiv w:val="1"/>
      <w:marLeft w:val="0"/>
      <w:marRight w:val="0"/>
      <w:marTop w:val="0"/>
      <w:marBottom w:val="0"/>
      <w:divBdr>
        <w:top w:val="none" w:sz="0" w:space="0" w:color="auto"/>
        <w:left w:val="none" w:sz="0" w:space="0" w:color="auto"/>
        <w:bottom w:val="none" w:sz="0" w:space="0" w:color="auto"/>
        <w:right w:val="none" w:sz="0" w:space="0" w:color="auto"/>
      </w:divBdr>
    </w:div>
    <w:div w:id="1615284507">
      <w:bodyDiv w:val="1"/>
      <w:marLeft w:val="0"/>
      <w:marRight w:val="0"/>
      <w:marTop w:val="0"/>
      <w:marBottom w:val="0"/>
      <w:divBdr>
        <w:top w:val="none" w:sz="0" w:space="0" w:color="auto"/>
        <w:left w:val="none" w:sz="0" w:space="0" w:color="auto"/>
        <w:bottom w:val="none" w:sz="0" w:space="0" w:color="auto"/>
        <w:right w:val="none" w:sz="0" w:space="0" w:color="auto"/>
      </w:divBdr>
    </w:div>
    <w:div w:id="1840386297">
      <w:bodyDiv w:val="1"/>
      <w:marLeft w:val="0"/>
      <w:marRight w:val="0"/>
      <w:marTop w:val="0"/>
      <w:marBottom w:val="0"/>
      <w:divBdr>
        <w:top w:val="none" w:sz="0" w:space="0" w:color="auto"/>
        <w:left w:val="none" w:sz="0" w:space="0" w:color="auto"/>
        <w:bottom w:val="none" w:sz="0" w:space="0" w:color="auto"/>
        <w:right w:val="none" w:sz="0" w:space="0" w:color="auto"/>
      </w:divBdr>
    </w:div>
    <w:div w:id="1851984988">
      <w:bodyDiv w:val="1"/>
      <w:marLeft w:val="0"/>
      <w:marRight w:val="0"/>
      <w:marTop w:val="0"/>
      <w:marBottom w:val="0"/>
      <w:divBdr>
        <w:top w:val="none" w:sz="0" w:space="0" w:color="auto"/>
        <w:left w:val="none" w:sz="0" w:space="0" w:color="auto"/>
        <w:bottom w:val="none" w:sz="0" w:space="0" w:color="auto"/>
        <w:right w:val="none" w:sz="0" w:space="0" w:color="auto"/>
      </w:divBdr>
    </w:div>
    <w:div w:id="1889873262">
      <w:bodyDiv w:val="1"/>
      <w:marLeft w:val="0"/>
      <w:marRight w:val="0"/>
      <w:marTop w:val="0"/>
      <w:marBottom w:val="0"/>
      <w:divBdr>
        <w:top w:val="none" w:sz="0" w:space="0" w:color="auto"/>
        <w:left w:val="none" w:sz="0" w:space="0" w:color="auto"/>
        <w:bottom w:val="none" w:sz="0" w:space="0" w:color="auto"/>
        <w:right w:val="none" w:sz="0" w:space="0" w:color="auto"/>
      </w:divBdr>
    </w:div>
    <w:div w:id="2017727469">
      <w:bodyDiv w:val="1"/>
      <w:marLeft w:val="0"/>
      <w:marRight w:val="0"/>
      <w:marTop w:val="0"/>
      <w:marBottom w:val="0"/>
      <w:divBdr>
        <w:top w:val="none" w:sz="0" w:space="0" w:color="auto"/>
        <w:left w:val="none" w:sz="0" w:space="0" w:color="auto"/>
        <w:bottom w:val="none" w:sz="0" w:space="0" w:color="auto"/>
        <w:right w:val="none" w:sz="0" w:space="0" w:color="auto"/>
      </w:divBdr>
    </w:div>
    <w:div w:id="2063744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github.com/AlexGibsonPlymouth/3SC.git"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ibson@plymouth.ac.uk" TargetMode="Externa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www.data.gov.uk"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tinyurl.com/333fyndk" TargetMode="External"/><Relationship Id="rId13" Type="http://schemas.openxmlformats.org/officeDocument/2006/relationships/hyperlink" Target="https://tinyurl.com/5afkr99z" TargetMode="External"/><Relationship Id="rId3" Type="http://schemas.openxmlformats.org/officeDocument/2006/relationships/hyperlink" Target="https://doi.org/10.1016/S2468-2667(22)00133-5" TargetMode="External"/><Relationship Id="rId7" Type="http://schemas.openxmlformats.org/officeDocument/2006/relationships/hyperlink" Target="https://tabula.technology/" TargetMode="External"/><Relationship Id="rId12" Type="http://schemas.openxmlformats.org/officeDocument/2006/relationships/hyperlink" Target="https://tinyurl.com/y53jbu8u" TargetMode="External"/><Relationship Id="rId2" Type="http://schemas.openxmlformats.org/officeDocument/2006/relationships/hyperlink" Target="https://doi.org/10.1111/kykl.12171" TargetMode="External"/><Relationship Id="rId1" Type="http://schemas.openxmlformats.org/officeDocument/2006/relationships/hyperlink" Target="https://tinyurl.com/4m9p23hp)" TargetMode="External"/><Relationship Id="rId6" Type="http://schemas.openxmlformats.org/officeDocument/2006/relationships/hyperlink" Target="https://github.com/AlexGibsonPlymouth/3SC.git" TargetMode="External"/><Relationship Id="rId11" Type="http://schemas.openxmlformats.org/officeDocument/2006/relationships/hyperlink" Target="https://github.com/crahal/NHSSpend" TargetMode="External"/><Relationship Id="rId5" Type="http://schemas.openxmlformats.org/officeDocument/2006/relationships/hyperlink" Target="https://tinyurl.com/ycy5b7d4" TargetMode="External"/><Relationship Id="rId15" Type="http://schemas.openxmlformats.org/officeDocument/2006/relationships/hyperlink" Target="https://tinyurl.com/4m9p23hp" TargetMode="External"/><Relationship Id="rId10" Type="http://schemas.openxmlformats.org/officeDocument/2006/relationships/hyperlink" Target="https://twenty20capital.com/how-we-work/" TargetMode="External"/><Relationship Id="rId4" Type="http://schemas.openxmlformats.org/officeDocument/2006/relationships/hyperlink" Target="https://tinyurl.com/fuxbj76x" TargetMode="External"/><Relationship Id="rId9" Type="http://schemas.openxmlformats.org/officeDocument/2006/relationships/hyperlink" Target="https://tinyurl.com/cyyxee2k" TargetMode="External"/><Relationship Id="rId14" Type="http://schemas.openxmlformats.org/officeDocument/2006/relationships/hyperlink" Target="https://tinyurl.com/4rknhzb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16999B1FE363B40BFCD67F771D8CA7F" ma:contentTypeVersion="7" ma:contentTypeDescription="Create a new document." ma:contentTypeScope="" ma:versionID="babad38d02b9a26ca05952e580d6e022">
  <xsd:schema xmlns:xsd="http://www.w3.org/2001/XMLSchema" xmlns:xs="http://www.w3.org/2001/XMLSchema" xmlns:p="http://schemas.microsoft.com/office/2006/metadata/properties" xmlns:ns3="4d7a672e-0b71-4566-a77c-cf024d3b3bbf" xmlns:ns4="ced6eee0-4f99-44d5-87ec-db656313c597" targetNamespace="http://schemas.microsoft.com/office/2006/metadata/properties" ma:root="true" ma:fieldsID="d5dc54e31fcefe75663984f2d0b2ebf0" ns3:_="" ns4:_="">
    <xsd:import namespace="4d7a672e-0b71-4566-a77c-cf024d3b3bbf"/>
    <xsd:import namespace="ced6eee0-4f99-44d5-87ec-db656313c59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7a672e-0b71-4566-a77c-cf024d3b3bb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d6eee0-4f99-44d5-87ec-db656313c5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EBB19F-8E9C-47E2-A525-B178D5D25E3F}">
  <ds:schemaRefs>
    <ds:schemaRef ds:uri="http://schemas.microsoft.com/sharepoint/v3/contenttype/forms"/>
  </ds:schemaRefs>
</ds:datastoreItem>
</file>

<file path=customXml/itemProps2.xml><?xml version="1.0" encoding="utf-8"?>
<ds:datastoreItem xmlns:ds="http://schemas.openxmlformats.org/officeDocument/2006/customXml" ds:itemID="{F8A2F526-B470-48DE-8F29-F3360253950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514E1C-8D7C-4EF7-97A3-FC0D7F2A565F}">
  <ds:schemaRefs>
    <ds:schemaRef ds:uri="http://schemas.openxmlformats.org/officeDocument/2006/bibliography"/>
  </ds:schemaRefs>
</ds:datastoreItem>
</file>

<file path=customXml/itemProps4.xml><?xml version="1.0" encoding="utf-8"?>
<ds:datastoreItem xmlns:ds="http://schemas.openxmlformats.org/officeDocument/2006/customXml" ds:itemID="{9979F368-AC4D-428E-95D9-F54CDE8030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7a672e-0b71-4566-a77c-cf024d3b3bbf"/>
    <ds:schemaRef ds:uri="ced6eee0-4f99-44d5-87ec-db656313c5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23</Pages>
  <Words>6651</Words>
  <Characters>37912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Gibson</dc:creator>
  <cp:keywords/>
  <dc:description/>
  <cp:lastModifiedBy>Alex Gibson</cp:lastModifiedBy>
  <cp:revision>7</cp:revision>
  <cp:lastPrinted>2023-02-03T00:52:00Z</cp:lastPrinted>
  <dcterms:created xsi:type="dcterms:W3CDTF">2023-02-15T18:30:00Z</dcterms:created>
  <dcterms:modified xsi:type="dcterms:W3CDTF">2023-02-20T14:23:00Z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0x010100A16999B1FE363B40BFCD67F771D8CA7F</vt:lpwstr>
  </property>
</Properties>
</file>