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Five characteristics of Cloud computing &lt;span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Markdown can recognize every pair of angle brackets to a real HTML tag and so does the script tag. Therefore, hackers can use this feature to execute some J</w:t>
      </w:r>
      <w:bookmarkStart w:id="0" w:name="_GoBack"/>
      <w:bookmarkEnd w:id="0"/>
      <w:r>
        <w:rPr>
          <w:rFonts w:hint="eastAsia"/>
          <w:lang w:val="en-US" w:eastAsia="zh-CN"/>
        </w:rPr>
        <w:t>avascript code on our service. To avoid this, we need to clean the inputted markdown that server received first, and I will explain that in my subsequent blogs.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37199C"/>
    <w:rsid w:val="1D7C3DD9"/>
    <w:rsid w:val="38740BB2"/>
    <w:rsid w:val="62B3039D"/>
    <w:rsid w:val="6C29320E"/>
    <w:rsid w:val="6FFD576C"/>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1478</Words>
  <Characters>7250</Characters>
  <Lines>0</Lines>
  <Paragraphs>0</Paragraphs>
  <TotalTime>723</TotalTime>
  <ScaleCrop>false</ScaleCrop>
  <LinksUpToDate>false</LinksUpToDate>
  <CharactersWithSpaces>8702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2022-10-02T14:45:45Z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