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825D" w14:textId="5F1C4B29" w:rsidR="0043722E" w:rsidRPr="006F2295" w:rsidRDefault="0043722E" w:rsidP="0043722E">
      <w:pPr>
        <w:jc w:val="center"/>
        <w:rPr>
          <w:b/>
          <w:bCs/>
          <w:sz w:val="28"/>
          <w:szCs w:val="28"/>
        </w:rPr>
      </w:pPr>
      <w:r w:rsidRPr="006F2295">
        <w:rPr>
          <w:b/>
          <w:bCs/>
          <w:sz w:val="28"/>
          <w:szCs w:val="28"/>
        </w:rPr>
        <w:t>Proyecto Análisis de la Volatilidad del Tipo de Cambio USD/MXN durante las crisis en México</w:t>
      </w:r>
    </w:p>
    <w:p w14:paraId="41C5E1D7" w14:textId="3F3D7738" w:rsidR="00CB0399" w:rsidRDefault="000A085C" w:rsidP="00B76218">
      <w:pPr>
        <w:jc w:val="both"/>
      </w:pPr>
      <w:r>
        <w:t xml:space="preserve">El presente </w:t>
      </w:r>
      <w:r w:rsidR="00564251">
        <w:t xml:space="preserve">proyecto tiene como objetivo </w:t>
      </w:r>
      <w:r w:rsidR="00967A68">
        <w:t xml:space="preserve">analizar la </w:t>
      </w:r>
      <w:r w:rsidR="00967A68" w:rsidRPr="00DC7925">
        <w:rPr>
          <w:b/>
          <w:bCs/>
        </w:rPr>
        <w:t>volatilidad del tipo de cambio</w:t>
      </w:r>
      <w:r w:rsidR="00967A68">
        <w:t xml:space="preserve"> </w:t>
      </w:r>
      <w:r w:rsidR="00564251">
        <w:t>(TC) en la relación</w:t>
      </w:r>
      <w:r w:rsidR="00384001">
        <w:t xml:space="preserve"> dólar estadounidense </w:t>
      </w:r>
      <w:r w:rsidR="00564251">
        <w:t>vs</w:t>
      </w:r>
      <w:r w:rsidR="00384001">
        <w:t xml:space="preserve"> peso mexicano </w:t>
      </w:r>
      <w:r w:rsidR="00384001" w:rsidRPr="00DC7925">
        <w:rPr>
          <w:b/>
          <w:bCs/>
        </w:rPr>
        <w:t>(</w:t>
      </w:r>
      <w:r w:rsidR="00967A68" w:rsidRPr="00DC7925">
        <w:rPr>
          <w:b/>
          <w:bCs/>
        </w:rPr>
        <w:t>USD-MXN</w:t>
      </w:r>
      <w:r w:rsidR="00384001" w:rsidRPr="00DC7925">
        <w:rPr>
          <w:b/>
          <w:bCs/>
        </w:rPr>
        <w:t>)</w:t>
      </w:r>
      <w:r w:rsidR="00384001">
        <w:t xml:space="preserve"> en los </w:t>
      </w:r>
      <w:r w:rsidR="00DC7925" w:rsidRPr="00DC7925">
        <w:rPr>
          <w:b/>
          <w:bCs/>
        </w:rPr>
        <w:t>periodos</w:t>
      </w:r>
      <w:r w:rsidR="00384001" w:rsidRPr="00DC7925">
        <w:rPr>
          <w:b/>
          <w:bCs/>
        </w:rPr>
        <w:t xml:space="preserve"> de crisis</w:t>
      </w:r>
      <w:r w:rsidR="00384001">
        <w:t xml:space="preserve"> por los que ha atravesado México desde 1992</w:t>
      </w:r>
      <w:r w:rsidR="003D7A1A">
        <w:t>. E</w:t>
      </w:r>
      <w:r w:rsidR="00564251">
        <w:t xml:space="preserve">ste interés surge </w:t>
      </w:r>
      <w:r w:rsidR="003D7A1A">
        <w:t>de la curiosidad de</w:t>
      </w:r>
    </w:p>
    <w:p w14:paraId="72819587" w14:textId="77777777" w:rsidR="00DC7925" w:rsidRDefault="003D7A1A" w:rsidP="00DC7925">
      <w:pPr>
        <w:pStyle w:val="Prrafodelista"/>
        <w:numPr>
          <w:ilvl w:val="0"/>
          <w:numId w:val="6"/>
        </w:numPr>
        <w:jc w:val="both"/>
      </w:pPr>
      <w:r>
        <w:t xml:space="preserve">descubrir </w:t>
      </w:r>
      <w:r w:rsidR="00FE55F0">
        <w:t xml:space="preserve">el </w:t>
      </w:r>
      <w:r w:rsidR="00FE55F0" w:rsidRPr="006470DC">
        <w:rPr>
          <w:b/>
          <w:bCs/>
        </w:rPr>
        <w:t xml:space="preserve">comportamiento del </w:t>
      </w:r>
      <w:r w:rsidR="002E63DD" w:rsidRPr="006470DC">
        <w:rPr>
          <w:b/>
          <w:bCs/>
        </w:rPr>
        <w:t>mercado cambiario</w:t>
      </w:r>
      <w:r w:rsidR="00FE55F0">
        <w:t xml:space="preserve"> </w:t>
      </w:r>
      <w:r>
        <w:t>en</w:t>
      </w:r>
      <w:r w:rsidR="0043722E">
        <w:t xml:space="preserve"> estos</w:t>
      </w:r>
      <w:r>
        <w:t xml:space="preserve"> periodos denominados de crisis</w:t>
      </w:r>
      <w:r w:rsidR="00DC7925">
        <w:t>, y</w:t>
      </w:r>
    </w:p>
    <w:p w14:paraId="793F5E72" w14:textId="49B9A87D" w:rsidR="007F6D1A" w:rsidRDefault="00D810A1" w:rsidP="00DC7925">
      <w:pPr>
        <w:pStyle w:val="Prrafodelista"/>
        <w:numPr>
          <w:ilvl w:val="0"/>
          <w:numId w:val="6"/>
        </w:numPr>
        <w:jc w:val="both"/>
      </w:pPr>
      <w:r w:rsidRPr="006470DC">
        <w:rPr>
          <w:b/>
          <w:bCs/>
        </w:rPr>
        <w:t xml:space="preserve">describir </w:t>
      </w:r>
      <w:r w:rsidR="00FE55F0" w:rsidRPr="006470DC">
        <w:rPr>
          <w:b/>
          <w:bCs/>
        </w:rPr>
        <w:t xml:space="preserve">las </w:t>
      </w:r>
      <w:r w:rsidR="0043722E" w:rsidRPr="006470DC">
        <w:rPr>
          <w:b/>
          <w:bCs/>
        </w:rPr>
        <w:t xml:space="preserve">posibles </w:t>
      </w:r>
      <w:r w:rsidR="00FE55F0" w:rsidRPr="006470DC">
        <w:rPr>
          <w:b/>
          <w:bCs/>
        </w:rPr>
        <w:t>relaciones</w:t>
      </w:r>
      <w:r w:rsidR="00FE55F0">
        <w:t xml:space="preserve"> que </w:t>
      </w:r>
      <w:r>
        <w:t>existen</w:t>
      </w:r>
      <w:r w:rsidR="00FE55F0">
        <w:t xml:space="preserve"> entre ambos.</w:t>
      </w:r>
    </w:p>
    <w:p w14:paraId="0F1743F0" w14:textId="247D2791" w:rsidR="000A085C" w:rsidRDefault="00530B2E" w:rsidP="00B76218">
      <w:pPr>
        <w:jc w:val="both"/>
      </w:pPr>
      <w:r>
        <w:t>E</w:t>
      </w:r>
      <w:r w:rsidR="00574791">
        <w:t>n el caso de México,</w:t>
      </w:r>
      <w:r w:rsidR="00D810A1">
        <w:t xml:space="preserve"> la fluctuación del mercado cambiario</w:t>
      </w:r>
      <w:r>
        <w:t xml:space="preserve"> se mide con respecto a </w:t>
      </w:r>
      <w:r w:rsidR="00574791">
        <w:t xml:space="preserve">la </w:t>
      </w:r>
      <w:r w:rsidR="00AA6F65">
        <w:t>apreciación</w:t>
      </w:r>
      <w:r w:rsidR="00B76218">
        <w:t xml:space="preserve"> </w:t>
      </w:r>
      <w:r w:rsidR="00AA6F65">
        <w:t>/</w:t>
      </w:r>
      <w:r w:rsidR="00B76218">
        <w:t xml:space="preserve"> </w:t>
      </w:r>
      <w:r w:rsidR="00AA6F65">
        <w:t xml:space="preserve">depreciación </w:t>
      </w:r>
      <w:r w:rsidR="00574791">
        <w:t xml:space="preserve">del </w:t>
      </w:r>
      <w:r w:rsidR="00AA6F65">
        <w:t xml:space="preserve">peso </w:t>
      </w:r>
      <w:r w:rsidR="00574791">
        <w:t>mexicano</w:t>
      </w:r>
      <w:r w:rsidR="00181DBA">
        <w:t xml:space="preserve"> (MXN)</w:t>
      </w:r>
      <w:r w:rsidR="00574791">
        <w:t xml:space="preserve"> </w:t>
      </w:r>
      <w:r w:rsidR="00AA6F65">
        <w:t xml:space="preserve">con respecto </w:t>
      </w:r>
      <w:r w:rsidR="00574791">
        <w:t xml:space="preserve">otras monedas, </w:t>
      </w:r>
      <w:r w:rsidR="00D810A1">
        <w:t>principalmente</w:t>
      </w:r>
      <w:r w:rsidR="00574791">
        <w:t xml:space="preserve">, </w:t>
      </w:r>
      <w:r w:rsidR="000E42FE">
        <w:t>e</w:t>
      </w:r>
      <w:r w:rsidR="00AA6F65">
        <w:t xml:space="preserve">l dólar </w:t>
      </w:r>
      <w:r w:rsidR="00574791">
        <w:t>estadounidense</w:t>
      </w:r>
      <w:r w:rsidR="00181DBA">
        <w:t xml:space="preserve"> (USD)</w:t>
      </w:r>
      <w:r w:rsidR="00CB4EE7">
        <w:t>. Esta variación</w:t>
      </w:r>
      <w:r w:rsidR="00AA6F65">
        <w:t xml:space="preserve"> puede afectar positiva o negativamente a</w:t>
      </w:r>
      <w:r w:rsidR="00574791">
        <w:t xml:space="preserve"> </w:t>
      </w:r>
      <w:r w:rsidR="00AA6F65">
        <w:t>l</w:t>
      </w:r>
      <w:r w:rsidR="00574791">
        <w:t>a economía</w:t>
      </w:r>
      <w:r w:rsidR="00CB4EE7">
        <w:t xml:space="preserve"> mexicana y a sus diversos sectores</w:t>
      </w:r>
      <w:r w:rsidR="00574791">
        <w:t>.</w:t>
      </w:r>
    </w:p>
    <w:p w14:paraId="0A95FFDE" w14:textId="0920F0AF" w:rsidR="00574791" w:rsidRDefault="00CB4EE7" w:rsidP="00B76218">
      <w:pPr>
        <w:jc w:val="both"/>
      </w:pPr>
      <w:r>
        <w:t xml:space="preserve">México ha contado con diversos regímenes cambiarios, el </w:t>
      </w:r>
      <w:r w:rsidR="008850FE" w:rsidRPr="00DC7925">
        <w:rPr>
          <w:b/>
          <w:bCs/>
        </w:rPr>
        <w:t>régimen actual</w:t>
      </w:r>
      <w:r w:rsidR="008850FE">
        <w:t>,</w:t>
      </w:r>
      <w:r>
        <w:t xml:space="preserve"> implementado </w:t>
      </w:r>
      <w:r w:rsidR="008850FE">
        <w:t xml:space="preserve">en </w:t>
      </w:r>
      <w:r>
        <w:t xml:space="preserve">el 22 de diciembre de </w:t>
      </w:r>
      <w:r w:rsidRPr="00DC7925">
        <w:rPr>
          <w:b/>
          <w:bCs/>
        </w:rPr>
        <w:t>1993</w:t>
      </w:r>
      <w:r w:rsidR="008850FE">
        <w:t>,</w:t>
      </w:r>
      <w:r>
        <w:t xml:space="preserve"> es llamado</w:t>
      </w:r>
      <w:r w:rsidR="00181DBA">
        <w:t xml:space="preserve"> de </w:t>
      </w:r>
      <w:r w:rsidR="00181DBA" w:rsidRPr="00DC7925">
        <w:rPr>
          <w:b/>
          <w:bCs/>
        </w:rPr>
        <w:t>libre flotación</w:t>
      </w:r>
      <w:r w:rsidR="00181DBA">
        <w:t>, lo cual quiere decir que</w:t>
      </w:r>
      <w:r w:rsidR="001D650F">
        <w:t xml:space="preserve"> el valor del tipo de cambio</w:t>
      </w:r>
      <w:r w:rsidR="00181DBA">
        <w:t xml:space="preserve"> depende de la oferta y la demanda en el mercado, </w:t>
      </w:r>
      <w:r w:rsidR="000E42FE">
        <w:t>por tanto, son</w:t>
      </w:r>
      <w:r w:rsidR="00181DBA">
        <w:t xml:space="preserve"> estas fuerzas </w:t>
      </w:r>
      <w:r w:rsidR="00336A3F">
        <w:t xml:space="preserve">las que </w:t>
      </w:r>
      <w:r w:rsidR="00181DBA">
        <w:t xml:space="preserve">determinan la paridad que </w:t>
      </w:r>
      <w:r w:rsidR="00336A3F">
        <w:t xml:space="preserve">hay </w:t>
      </w:r>
      <w:r w:rsidR="00181DBA">
        <w:t>con respecto al</w:t>
      </w:r>
      <w:r w:rsidR="008850FE">
        <w:t xml:space="preserve"> USD</w:t>
      </w:r>
      <w:r w:rsidR="008A4CBE">
        <w:t>.</w:t>
      </w:r>
    </w:p>
    <w:p w14:paraId="3785AB89" w14:textId="64991C79" w:rsidR="008A4CBE" w:rsidRDefault="001D650F" w:rsidP="00B76218">
      <w:pPr>
        <w:jc w:val="both"/>
      </w:pPr>
      <w:r>
        <w:t>Tomando en cuenta lo anterior, este proyecto</w:t>
      </w:r>
      <w:r w:rsidR="008A4CBE">
        <w:t xml:space="preserve"> tiene el </w:t>
      </w:r>
      <w:r w:rsidR="00E435FC">
        <w:t>propósito</w:t>
      </w:r>
      <w:r w:rsidR="008A4CBE">
        <w:t xml:space="preserve"> de estudiar la volatilidad de los tipos de cambio</w:t>
      </w:r>
      <w:r w:rsidR="00A904E1">
        <w:t xml:space="preserve"> en diversas </w:t>
      </w:r>
      <w:r w:rsidR="00A904E1" w:rsidRPr="006470DC">
        <w:rPr>
          <w:b/>
          <w:bCs/>
        </w:rPr>
        <w:t xml:space="preserve">crisis </w:t>
      </w:r>
      <w:r w:rsidR="00A904E1">
        <w:t>que ha tenido México</w:t>
      </w:r>
      <w:r w:rsidR="000E42FE">
        <w:t xml:space="preserve">, ya sea que </w:t>
      </w:r>
      <w:r w:rsidR="000E42FE" w:rsidRPr="006470DC">
        <w:rPr>
          <w:b/>
          <w:bCs/>
        </w:rPr>
        <w:t>su</w:t>
      </w:r>
      <w:r w:rsidR="00A904E1" w:rsidRPr="006470DC">
        <w:rPr>
          <w:b/>
          <w:bCs/>
        </w:rPr>
        <w:t xml:space="preserve"> origen</w:t>
      </w:r>
      <w:r w:rsidR="00EA47B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haya</w:t>
      </w:r>
      <w:r w:rsidR="00A904E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sido interno</w:t>
      </w:r>
      <w:r w:rsidR="00A904E1" w:rsidRPr="006470DC">
        <w:rPr>
          <w:b/>
          <w:bCs/>
        </w:rPr>
        <w:t xml:space="preserve"> o en el exterior</w:t>
      </w:r>
      <w:r w:rsidR="00A904E1">
        <w:t>.</w:t>
      </w:r>
      <w:r w:rsidR="00E435FC">
        <w:t xml:space="preserve"> Con ello</w:t>
      </w:r>
      <w:r w:rsidR="00A42389">
        <w:t>,</w:t>
      </w:r>
      <w:r w:rsidR="00E435FC">
        <w:t xml:space="preserve"> se busca realizar una </w:t>
      </w:r>
      <w:r w:rsidR="00E435FC" w:rsidRPr="006470DC">
        <w:rPr>
          <w:b/>
          <w:bCs/>
        </w:rPr>
        <w:t>estimación de la posible futura volatilidad</w:t>
      </w:r>
      <w:r w:rsidR="00E435FC">
        <w:t xml:space="preserve"> que tendrá el tipo de cambio en los próximos meses</w:t>
      </w:r>
      <w:r w:rsidR="0043722E">
        <w:t>.</w:t>
      </w:r>
    </w:p>
    <w:p w14:paraId="20157639" w14:textId="194C8381" w:rsidR="006724A5" w:rsidRDefault="006724A5" w:rsidP="00B76218">
      <w:pPr>
        <w:jc w:val="both"/>
      </w:pPr>
      <w:r>
        <w:t>Fuentes de información:</w:t>
      </w:r>
    </w:p>
    <w:p w14:paraId="686A0BC1" w14:textId="2FD2C21A" w:rsidR="0041516C" w:rsidRDefault="0050752C" w:rsidP="00B76218">
      <w:pPr>
        <w:jc w:val="both"/>
      </w:pPr>
      <w:r>
        <w:t>Se utilizará el registro de datos del</w:t>
      </w:r>
      <w:r w:rsidR="00336A3F">
        <w:t xml:space="preserve"> TC UXD/MXN del</w:t>
      </w:r>
      <w:r>
        <w:t xml:space="preserve"> </w:t>
      </w:r>
      <w:r w:rsidRPr="006470DC">
        <w:rPr>
          <w:b/>
          <w:bCs/>
        </w:rPr>
        <w:t>Banco de México</w:t>
      </w:r>
      <w:r w:rsidR="00336A3F">
        <w:t xml:space="preserve"> y del sitio web </w:t>
      </w:r>
      <w:r w:rsidR="00336A3F" w:rsidRPr="006470DC">
        <w:rPr>
          <w:b/>
          <w:bCs/>
        </w:rPr>
        <w:t>investing.com</w:t>
      </w:r>
      <w:r w:rsidR="00336A3F">
        <w:t>, y</w:t>
      </w:r>
      <w:r w:rsidR="006724A5">
        <w:t xml:space="preserve">a que se busca </w:t>
      </w:r>
      <w:r w:rsidR="00336A3F">
        <w:t xml:space="preserve">contar con la perspectiva </w:t>
      </w:r>
      <w:r w:rsidR="004C7A08">
        <w:t xml:space="preserve">de una </w:t>
      </w:r>
      <w:r w:rsidR="006724A5">
        <w:t>fuente oficial</w:t>
      </w:r>
      <w:r w:rsidR="004C7A08">
        <w:t xml:space="preserve"> y una privada.</w:t>
      </w:r>
    </w:p>
    <w:p w14:paraId="092375C7" w14:textId="77777777" w:rsidR="000939CA" w:rsidRDefault="000939CA" w:rsidP="000939CA">
      <w:pPr>
        <w:rPr>
          <w:b/>
          <w:bCs/>
        </w:rPr>
      </w:pPr>
      <w:r>
        <w:rPr>
          <w:b/>
          <w:bCs/>
        </w:rPr>
        <w:t>Metodología</w:t>
      </w:r>
    </w:p>
    <w:p w14:paraId="306A08A5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Obtener los históricos el TC USD/MXN de 2 fuentes diferentes.</w:t>
      </w:r>
    </w:p>
    <w:p w14:paraId="6EDA620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Analizar la varianza diaria, semanal, mensual, bimestral, trimestral, semestral, anual y sexenal.</w:t>
      </w:r>
    </w:p>
    <w:p w14:paraId="4AEEA5D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Identificar los posibles periodos de crisis que impactarán en el mercado cambiario en México</w:t>
      </w:r>
      <w:r>
        <w:t>, haciendo una revisión del contexto político, social y económico</w:t>
      </w:r>
      <w:r w:rsidRPr="00ED56B5">
        <w:t>.</w:t>
      </w:r>
    </w:p>
    <w:p w14:paraId="405C1AAB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Realizar series de tiempo para identificar en qué momentos hay más varianza.</w:t>
      </w:r>
    </w:p>
    <w:p w14:paraId="2877E07F" w14:textId="77777777" w:rsidR="000939CA" w:rsidRDefault="000939CA" w:rsidP="000939CA">
      <w:pPr>
        <w:pStyle w:val="Prrafodelista"/>
        <w:numPr>
          <w:ilvl w:val="0"/>
          <w:numId w:val="3"/>
        </w:numPr>
      </w:pPr>
      <w:r w:rsidRPr="00ED56B5">
        <w:t xml:space="preserve">Comparar si los periodos identificados </w:t>
      </w:r>
      <w:r>
        <w:t>como crisis en el análisis de</w:t>
      </w:r>
      <w:r w:rsidRPr="00ED56B5">
        <w:t>l contexto político-económico</w:t>
      </w:r>
      <w:r>
        <w:t>-</w:t>
      </w:r>
      <w:r w:rsidRPr="00ED56B5">
        <w:t>social</w:t>
      </w:r>
      <w:r>
        <w:t xml:space="preserve"> son identificables en la volatilidad mostrada en el tipo de cambio.</w:t>
      </w:r>
    </w:p>
    <w:p w14:paraId="19EC41D4" w14:textId="77777777" w:rsidR="000939CA" w:rsidRDefault="000939CA" w:rsidP="000939CA">
      <w:pPr>
        <w:pStyle w:val="Prrafodelista"/>
        <w:numPr>
          <w:ilvl w:val="0"/>
          <w:numId w:val="3"/>
        </w:numPr>
      </w:pPr>
      <w:r>
        <w:t>Analizar la volatilidad del TC antes, durante y después del periodo de crisis.</w:t>
      </w:r>
    </w:p>
    <w:p w14:paraId="5243ABD2" w14:textId="0EC4752E" w:rsidR="000939CA" w:rsidRDefault="000939CA" w:rsidP="00CB0399">
      <w:pPr>
        <w:pStyle w:val="Prrafodelista"/>
        <w:numPr>
          <w:ilvl w:val="0"/>
          <w:numId w:val="3"/>
        </w:numPr>
      </w:pPr>
      <w:r>
        <w:t>Estimar la volatilidad esperada en el resto del 2020 a partir del 1° de julio.</w:t>
      </w:r>
    </w:p>
    <w:p w14:paraId="445E8F0E" w14:textId="77777777" w:rsidR="00677729" w:rsidRDefault="00677729" w:rsidP="00B76218">
      <w:pPr>
        <w:jc w:val="both"/>
      </w:pPr>
    </w:p>
    <w:p w14:paraId="7AA2DFA1" w14:textId="77777777" w:rsidR="00677729" w:rsidRDefault="00677729" w:rsidP="00B76218">
      <w:pPr>
        <w:jc w:val="both"/>
        <w:sectPr w:rsidR="006777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47CBA9" w14:textId="563F91A8" w:rsidR="00A904E1" w:rsidRDefault="00A904E1" w:rsidP="00B76218">
      <w:pPr>
        <w:jc w:val="both"/>
      </w:pPr>
    </w:p>
    <w:tbl>
      <w:tblPr>
        <w:tblW w:w="12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099"/>
        <w:gridCol w:w="1260"/>
        <w:gridCol w:w="1260"/>
        <w:gridCol w:w="1260"/>
        <w:gridCol w:w="1260"/>
        <w:gridCol w:w="1748"/>
        <w:gridCol w:w="1748"/>
      </w:tblGrid>
      <w:tr w:rsidR="009A09C9" w:rsidRPr="00845684" w14:paraId="02CFE230" w14:textId="77777777" w:rsidTr="009A09C9">
        <w:trPr>
          <w:trHeight w:val="934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BCF536B" w14:textId="707A27DD" w:rsidR="009A09C9" w:rsidRPr="00845684" w:rsidRDefault="009A09C9" w:rsidP="009A09C9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Año o periodo</w:t>
            </w:r>
          </w:p>
        </w:tc>
        <w:tc>
          <w:tcPr>
            <w:tcW w:w="2099" w:type="dxa"/>
            <w:vAlign w:val="center"/>
          </w:tcPr>
          <w:p w14:paraId="30D203CB" w14:textId="1F761728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Suceso</w:t>
            </w:r>
          </w:p>
        </w:tc>
        <w:tc>
          <w:tcPr>
            <w:tcW w:w="1260" w:type="dxa"/>
            <w:vAlign w:val="center"/>
          </w:tcPr>
          <w:p w14:paraId="34E40D30" w14:textId="66F9BD8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min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A832F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med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07711F" w14:textId="2F969C2F" w:rsidR="009A09C9" w:rsidRPr="00845684" w:rsidRDefault="00EA47B1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9A09C9"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ean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2B095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max</w:t>
            </w:r>
            <w:proofErr w:type="spellEnd"/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41259F8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desv</w:t>
            </w:r>
            <w:proofErr w:type="spellEnd"/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F12799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  <w:proofErr w:type="spellEnd"/>
          </w:p>
        </w:tc>
      </w:tr>
      <w:tr w:rsidR="009A09C9" w:rsidRPr="00845684" w14:paraId="246C6AAB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C250BCC" w14:textId="243F007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1992</w:t>
            </w:r>
          </w:p>
        </w:tc>
        <w:tc>
          <w:tcPr>
            <w:tcW w:w="2099" w:type="dxa"/>
          </w:tcPr>
          <w:p w14:paraId="02408EAC" w14:textId="2A21246B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Inicio de la </w:t>
            </w:r>
            <w:r w:rsidR="00E33240">
              <w:t>“</w:t>
            </w:r>
            <w:r>
              <w:t>libre flotación</w:t>
            </w:r>
            <w:r w:rsidR="00E33240">
              <w:t>”</w:t>
            </w:r>
          </w:p>
        </w:tc>
        <w:tc>
          <w:tcPr>
            <w:tcW w:w="1260" w:type="dxa"/>
            <w:vAlign w:val="bottom"/>
          </w:tcPr>
          <w:p w14:paraId="02BFA86F" w14:textId="15EA0373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3.0610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F8B0D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A6413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3.0950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0613E1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3.1430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D97252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0.02426900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A647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0.00058898</w:t>
            </w:r>
          </w:p>
        </w:tc>
      </w:tr>
      <w:tr w:rsidR="006121B0" w:rsidRPr="00845684" w14:paraId="1180549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657577E" w14:textId="60D911D8" w:rsidR="006121B0" w:rsidRDefault="006121B0" w:rsidP="009A09C9">
            <w:pPr>
              <w:spacing w:after="0" w:line="240" w:lineRule="auto"/>
              <w:jc w:val="center"/>
            </w:pPr>
            <w:r>
              <w:t>1993</w:t>
            </w:r>
          </w:p>
        </w:tc>
        <w:tc>
          <w:tcPr>
            <w:tcW w:w="2099" w:type="dxa"/>
          </w:tcPr>
          <w:p w14:paraId="5FC42336" w14:textId="6905231C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0287AF6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61B62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95A993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9727B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72DC9ED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4C62B85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3527A5A3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E44E242" w14:textId="0A786C8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1994</w:t>
            </w:r>
          </w:p>
        </w:tc>
        <w:tc>
          <w:tcPr>
            <w:tcW w:w="2099" w:type="dxa"/>
          </w:tcPr>
          <w:p w14:paraId="0BCFB741" w14:textId="6C41FE14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levantamiento del EZLN</w:t>
            </w:r>
            <w:r w:rsidR="004C7A08">
              <w:t xml:space="preserve"> / Asesinato de Colosio</w:t>
            </w:r>
            <w:r w:rsidR="00E33240">
              <w:t xml:space="preserve"> y Ruiz Massieu</w:t>
            </w:r>
          </w:p>
        </w:tc>
        <w:tc>
          <w:tcPr>
            <w:tcW w:w="1260" w:type="dxa"/>
            <w:vAlign w:val="bottom"/>
          </w:tcPr>
          <w:p w14:paraId="4FB20A9C" w14:textId="4D9306DA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51E9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3C1B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BE8B0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5.7630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9E8E5A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0.28375700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BF54DE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0.08051784</w:t>
            </w:r>
          </w:p>
        </w:tc>
      </w:tr>
      <w:tr w:rsidR="009A09C9" w:rsidRPr="00845684" w14:paraId="3B216FA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4D0A21A6" w14:textId="6C4F429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1998</w:t>
            </w:r>
          </w:p>
        </w:tc>
        <w:tc>
          <w:tcPr>
            <w:tcW w:w="2099" w:type="dxa"/>
          </w:tcPr>
          <w:p w14:paraId="715CA475" w14:textId="2D90F08E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4EE5E48" w14:textId="1C7ABC41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8.0420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1388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8.8970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93973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9.1420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0FFCF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10.5790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567736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0.72542700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C4208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0.5262437</w:t>
            </w:r>
          </w:p>
        </w:tc>
      </w:tr>
      <w:tr w:rsidR="006121B0" w:rsidRPr="00845684" w14:paraId="425683B8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1BEA2F95" w14:textId="0D1AD56F" w:rsidR="006121B0" w:rsidRDefault="006121B0" w:rsidP="009A09C9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2099" w:type="dxa"/>
          </w:tcPr>
          <w:p w14:paraId="023031B0" w14:textId="4A082CEC" w:rsidR="006121B0" w:rsidRDefault="006121B0" w:rsidP="009A09C9">
            <w:pPr>
              <w:spacing w:after="0" w:line="240" w:lineRule="auto"/>
            </w:pPr>
            <w:r>
              <w:t>Cambio de partido en el poder</w:t>
            </w:r>
            <w:r w:rsidR="00E33240">
              <w:t xml:space="preserve"> presidencial</w:t>
            </w:r>
          </w:p>
        </w:tc>
        <w:tc>
          <w:tcPr>
            <w:tcW w:w="1260" w:type="dxa"/>
            <w:vAlign w:val="bottom"/>
          </w:tcPr>
          <w:p w14:paraId="0DEED62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9A45E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786E1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23FA30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0141E61F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5825EF3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121B0" w:rsidRPr="00845684" w14:paraId="4422A6E6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303AD98" w14:textId="36E1D251" w:rsidR="006121B0" w:rsidRDefault="006121B0" w:rsidP="009A09C9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2099" w:type="dxa"/>
          </w:tcPr>
          <w:p w14:paraId="3F274BC1" w14:textId="5B4FA661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6191F30C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25EC3A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E430E1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341058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4563A2F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A6F8A8B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49B5E802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0CC6315E" w14:textId="1B013D3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2008</w:t>
            </w:r>
          </w:p>
        </w:tc>
        <w:tc>
          <w:tcPr>
            <w:tcW w:w="2099" w:type="dxa"/>
          </w:tcPr>
          <w:p w14:paraId="401D9F0E" w14:textId="28CC2FF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económica</w:t>
            </w:r>
            <w:r w:rsidR="00E33240">
              <w:t xml:space="preserve"> </w:t>
            </w:r>
            <w:proofErr w:type="spellStart"/>
            <w:r w:rsidR="00E33240">
              <w:t>subprime</w:t>
            </w:r>
            <w:proofErr w:type="spellEnd"/>
          </w:p>
        </w:tc>
        <w:tc>
          <w:tcPr>
            <w:tcW w:w="1260" w:type="dxa"/>
            <w:vAlign w:val="bottom"/>
          </w:tcPr>
          <w:p w14:paraId="44F8A5BC" w14:textId="2B94C209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9.9180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05D8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10.7010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603C1C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11.1380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79936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13.9180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617BB6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1.14607500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77CCC4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1.313489</w:t>
            </w:r>
          </w:p>
        </w:tc>
      </w:tr>
      <w:tr w:rsidR="009A09C9" w:rsidRPr="00845684" w14:paraId="688E020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292663F" w14:textId="61342445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2009</w:t>
            </w:r>
          </w:p>
        </w:tc>
        <w:tc>
          <w:tcPr>
            <w:tcW w:w="2099" w:type="dxa"/>
          </w:tcPr>
          <w:p w14:paraId="7B12DA97" w14:textId="5BA85F5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H1N1</w:t>
            </w:r>
          </w:p>
        </w:tc>
        <w:tc>
          <w:tcPr>
            <w:tcW w:w="1260" w:type="dxa"/>
            <w:vAlign w:val="bottom"/>
          </w:tcPr>
          <w:p w14:paraId="649443A0" w14:textId="04E4A47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12.6000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157FD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13.3200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6E5ED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55CAA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15.3700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54B5342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0.59588600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5C603D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0.3550796</w:t>
            </w:r>
          </w:p>
        </w:tc>
      </w:tr>
      <w:tr w:rsidR="009A09C9" w:rsidRPr="00845684" w14:paraId="4B2557F9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2AF1C0B5" w14:textId="1020AB6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2016</w:t>
            </w:r>
          </w:p>
        </w:tc>
        <w:tc>
          <w:tcPr>
            <w:tcW w:w="2099" w:type="dxa"/>
          </w:tcPr>
          <w:p w14:paraId="722D290F" w14:textId="655E36DD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CE33373" w14:textId="52874BB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17.1800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B07F1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0879C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18.6600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A217B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21.0500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4A42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0.94311000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7CAD39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0.8894559</w:t>
            </w:r>
          </w:p>
        </w:tc>
      </w:tr>
      <w:tr w:rsidR="009A09C9" w:rsidRPr="00845684" w14:paraId="3E0C848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2ACC3CB" w14:textId="7CEF5392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2020 ene</w:t>
            </w:r>
            <w:r w:rsidR="006F2295">
              <w:t>-jun</w:t>
            </w:r>
          </w:p>
        </w:tc>
        <w:tc>
          <w:tcPr>
            <w:tcW w:w="2099" w:type="dxa"/>
          </w:tcPr>
          <w:p w14:paraId="471D087B" w14:textId="6A6BA73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coronavirus</w:t>
            </w:r>
          </w:p>
        </w:tc>
        <w:tc>
          <w:tcPr>
            <w:tcW w:w="1260" w:type="dxa"/>
            <w:vAlign w:val="bottom"/>
          </w:tcPr>
          <w:p w14:paraId="24F222CC" w14:textId="2B70926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18.5700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584BE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18.8600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63F1C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19.8800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7B9275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25.1200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BAE6BF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1.87873000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70DE4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3.529625</w:t>
            </w:r>
          </w:p>
        </w:tc>
      </w:tr>
    </w:tbl>
    <w:p w14:paraId="36030D17" w14:textId="77777777" w:rsidR="00D542E0" w:rsidRDefault="00D542E0" w:rsidP="00B76218">
      <w:pPr>
        <w:jc w:val="both"/>
      </w:pPr>
    </w:p>
    <w:p w14:paraId="6CD43561" w14:textId="0576B4CF" w:rsidR="00032834" w:rsidRDefault="00032834" w:rsidP="00B76218">
      <w:pPr>
        <w:jc w:val="both"/>
        <w:sectPr w:rsidR="00032834" w:rsidSect="00677729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9907F1" w14:textId="4B36FAB0" w:rsidR="00A03436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Sistema financiero</w:t>
      </w:r>
    </w:p>
    <w:p w14:paraId="47633C0E" w14:textId="663C50BB" w:rsidR="00A42389" w:rsidRPr="00A42389" w:rsidRDefault="00895D55" w:rsidP="00D542E0">
      <w:pPr>
        <w:jc w:val="both"/>
      </w:pPr>
      <w:r>
        <w:t>E</w:t>
      </w:r>
      <w:r w:rsidRPr="00895D55">
        <w:t>s el conjunto de instituciones, mercados e instrumentos en el que se organiza la actividad financiera, para movilizar el ahorro a sus usos más eficientes.</w:t>
      </w:r>
      <w:r>
        <w:t xml:space="preserve"> </w:t>
      </w:r>
      <w:r w:rsidR="00A42389" w:rsidRPr="00A42389">
        <w:t>El sistema financiero hace que los recursos que permiten desarrollar la actividad económica real -producir y consumir- lleguen desde aquellos individuos a los que les sobra el dinero en un momento determinado hasta aquellos que lo necesitan y facilite compartir los riesgos.</w:t>
      </w:r>
    </w:p>
    <w:p w14:paraId="137C2759" w14:textId="78143DBB" w:rsidR="00664677" w:rsidRDefault="00664677" w:rsidP="006646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467085" wp14:editId="7AA32D4E">
            <wp:extent cx="3491345" cy="6776136"/>
            <wp:effectExtent l="0" t="0" r="0" b="5715"/>
            <wp:docPr id="1" name="Imagen 1" descr="Infografia_Los-mercados-financierios-en-Mexico_Fuente_Ban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ia para el Blog 24, corregi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9" t="2301" r="14397" b="23075"/>
                    <a:stretch/>
                  </pic:blipFill>
                  <pic:spPr bwMode="auto">
                    <a:xfrm>
                      <a:off x="0" y="0"/>
                      <a:ext cx="3499329" cy="67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4E55" w14:textId="23CCF35A" w:rsidR="00A03436" w:rsidRPr="00A42389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Mercado Cambiario</w:t>
      </w:r>
      <w:r w:rsidR="001B02E0">
        <w:rPr>
          <w:b/>
          <w:bCs/>
        </w:rPr>
        <w:t xml:space="preserve"> en México</w:t>
      </w:r>
    </w:p>
    <w:p w14:paraId="1616CAB0" w14:textId="5F70A305" w:rsidR="00333321" w:rsidRDefault="001B02E0" w:rsidP="00333321">
      <w:pPr>
        <w:jc w:val="both"/>
      </w:pPr>
      <w:r>
        <w:t xml:space="preserve">Este mercado está inserto en el mercado internacional de divisas. </w:t>
      </w:r>
      <w:r w:rsidR="00333321">
        <w:t xml:space="preserve">La </w:t>
      </w:r>
      <w:r>
        <w:t>mayoría</w:t>
      </w:r>
      <w:r w:rsidR="00333321">
        <w:t xml:space="preserve"> de sus operaciones se realizan en el mercado </w:t>
      </w:r>
      <w:r>
        <w:t>MXN/USD, debido a nuestra vecindad con el país emisor de esta moneda y a la relación estratégica y comercial que se tiene con aquella nación</w:t>
      </w:r>
      <w:r w:rsidR="00B9472E">
        <w:t xml:space="preserve">, también porque </w:t>
      </w:r>
      <w:r w:rsidR="00333321">
        <w:t>la</w:t>
      </w:r>
      <w:r w:rsidR="00B9472E">
        <w:t>s</w:t>
      </w:r>
      <w:r w:rsidR="00333321">
        <w:t xml:space="preserve"> actividad</w:t>
      </w:r>
      <w:r w:rsidR="00B9472E">
        <w:t xml:space="preserve">es </w:t>
      </w:r>
      <w:r w:rsidR="00333321">
        <w:t xml:space="preserve">en los mercados con otras divisas </w:t>
      </w:r>
      <w:r w:rsidR="00B9472E">
        <w:t>son comparativamente</w:t>
      </w:r>
      <w:r w:rsidR="00333321">
        <w:t xml:space="preserve"> muy baja</w:t>
      </w:r>
      <w:r w:rsidR="00B9472E">
        <w:t>s</w:t>
      </w:r>
      <w:r w:rsidR="00333321">
        <w:t>.</w:t>
      </w:r>
    </w:p>
    <w:p w14:paraId="25134199" w14:textId="3AA93CA0" w:rsidR="00333321" w:rsidRDefault="00333321" w:rsidP="00333321">
      <w:pPr>
        <w:jc w:val="both"/>
      </w:pPr>
      <w:r>
        <w:t>Este</w:t>
      </w:r>
      <w:r w:rsidR="00B9472E">
        <w:t xml:space="preserve"> mercado no está c</w:t>
      </w:r>
      <w:r>
        <w:t>entralizado</w:t>
      </w:r>
      <w:r w:rsidR="00B9472E">
        <w:t>, por tanto,</w:t>
      </w:r>
      <w:r>
        <w:t xml:space="preserve"> se pueden realizar operaciones con el </w:t>
      </w:r>
      <w:r w:rsidR="00706B80">
        <w:t>MXN</w:t>
      </w:r>
      <w:r>
        <w:t xml:space="preserve"> en cualquier mercado del mundo donde </w:t>
      </w:r>
      <w:r w:rsidR="00706B80">
        <w:t xml:space="preserve">exista una demanda. Es un mercado que </w:t>
      </w:r>
      <w:r>
        <w:t>24</w:t>
      </w:r>
      <w:r w:rsidR="00706B80">
        <w:t>/7 cuyas transacciones se realizan electrónicamente.</w:t>
      </w:r>
    </w:p>
    <w:p w14:paraId="31EFEEF6" w14:textId="19E7C05C" w:rsidR="00A42389" w:rsidRDefault="00333321" w:rsidP="002610C3">
      <w:pPr>
        <w:jc w:val="both"/>
      </w:pPr>
      <w:r>
        <w:t>En México</w:t>
      </w:r>
      <w:r w:rsidR="00706B80">
        <w:t>,</w:t>
      </w:r>
      <w:r>
        <w:t xml:space="preserve"> </w:t>
      </w:r>
      <w:r w:rsidR="00706B80">
        <w:t>hay gran cantidad de unidades económicas</w:t>
      </w:r>
      <w:r>
        <w:t xml:space="preserve"> que comercian divisas, y cada uno de ell</w:t>
      </w:r>
      <w:r w:rsidR="002610C3">
        <w:t>a</w:t>
      </w:r>
      <w:r>
        <w:t xml:space="preserve">s fija un precio de compra y venta </w:t>
      </w:r>
      <w:r w:rsidR="002610C3">
        <w:t xml:space="preserve">de MXN </w:t>
      </w:r>
      <w:r>
        <w:t>que depende de la oferta y demanda de la divisa. Los</w:t>
      </w:r>
      <w:r w:rsidR="002610C3">
        <w:t xml:space="preserve"> intermediarios más comunes son las casas de cambio y los</w:t>
      </w:r>
      <w:r>
        <w:t xml:space="preserve"> bancos comerciales</w:t>
      </w:r>
      <w:r w:rsidR="002610C3">
        <w:t>.</w:t>
      </w:r>
    </w:p>
    <w:p w14:paraId="2C861E06" w14:textId="340464BA" w:rsidR="003734DF" w:rsidRPr="002610C3" w:rsidRDefault="003734DF" w:rsidP="00D542E0">
      <w:pPr>
        <w:jc w:val="both"/>
        <w:rPr>
          <w:b/>
          <w:bCs/>
        </w:rPr>
      </w:pPr>
      <w:r w:rsidRPr="002610C3">
        <w:rPr>
          <w:b/>
          <w:bCs/>
        </w:rPr>
        <w:t>Tipo de Cambio</w:t>
      </w:r>
    </w:p>
    <w:p w14:paraId="48A88ABC" w14:textId="20E33BF7" w:rsidR="005A363E" w:rsidRDefault="005A363E" w:rsidP="00D542E0">
      <w:pPr>
        <w:jc w:val="both"/>
      </w:pPr>
      <w:r w:rsidRPr="005A363E">
        <w:t xml:space="preserve">El tipo de cambio es una referencia que se usa en el mercado cambiario para conocer el número de unidades de </w:t>
      </w:r>
      <w:r w:rsidR="002610C3">
        <w:t xml:space="preserve">una </w:t>
      </w:r>
      <w:r w:rsidRPr="005A363E">
        <w:t xml:space="preserve">moneda </w:t>
      </w:r>
      <w:r w:rsidR="002610C3">
        <w:t>de un país</w:t>
      </w:r>
      <w:r w:rsidRPr="005A363E">
        <w:t xml:space="preserve"> que deben pagarse para obtener una moneda extranjera </w:t>
      </w:r>
      <w:proofErr w:type="gramStart"/>
      <w:r w:rsidRPr="005A363E">
        <w:t>o</w:t>
      </w:r>
      <w:proofErr w:type="gramEnd"/>
      <w:r w:rsidRPr="005A363E">
        <w:t xml:space="preserve"> </w:t>
      </w:r>
      <w:r w:rsidR="002610C3">
        <w:t>dicho de otro modo</w:t>
      </w:r>
      <w:r w:rsidRPr="005A363E">
        <w:t xml:space="preserve">, el número de unidades </w:t>
      </w:r>
      <w:r w:rsidR="0070713A">
        <w:t>en</w:t>
      </w:r>
      <w:r w:rsidRPr="005A363E">
        <w:t xml:space="preserve"> moneda nacional que se obtienen al vender una unidad de moneda extranjera.</w:t>
      </w:r>
      <w:r>
        <w:rPr>
          <w:rStyle w:val="Refdenotaalpie"/>
        </w:rPr>
        <w:footnoteReference w:id="1"/>
      </w:r>
    </w:p>
    <w:p w14:paraId="68F8D413" w14:textId="7D307FEC" w:rsidR="00D542E0" w:rsidRDefault="00D542E0" w:rsidP="00D542E0">
      <w:pPr>
        <w:jc w:val="both"/>
      </w:pPr>
      <w:r w:rsidRPr="0070713A">
        <w:rPr>
          <w:b/>
          <w:bCs/>
        </w:rPr>
        <w:t>Tipo de Cambio FIX</w:t>
      </w:r>
      <w:r w:rsidR="00344ECD">
        <w:rPr>
          <w:rStyle w:val="Refdenotaalpie"/>
        </w:rPr>
        <w:footnoteReference w:id="2"/>
      </w:r>
    </w:p>
    <w:p w14:paraId="4CE6103D" w14:textId="7D41E8C1" w:rsidR="00D542E0" w:rsidRDefault="00D542E0" w:rsidP="00D542E0">
      <w:pPr>
        <w:jc w:val="both"/>
      </w:pPr>
      <w:r>
        <w:t xml:space="preserve">Todos los días hábiles </w:t>
      </w:r>
      <w:r w:rsidR="0070713A">
        <w:t>bancarios a</w:t>
      </w:r>
      <w:r>
        <w:t xml:space="preserve"> las 12</w:t>
      </w:r>
      <w:r w:rsidR="0070713A">
        <w:t>:00 horas</w:t>
      </w:r>
      <w:r>
        <w:t xml:space="preserve">, el Banco de México </w:t>
      </w:r>
      <w:r w:rsidR="0070713A">
        <w:t>informa</w:t>
      </w:r>
      <w:r>
        <w:t xml:space="preserve"> el tipo de cambio FIX</w:t>
      </w:r>
      <w:r w:rsidR="0070713A">
        <w:t xml:space="preserve"> (</w:t>
      </w:r>
      <w:proofErr w:type="spellStart"/>
      <w:r w:rsidR="0070713A">
        <w:t>Fixed</w:t>
      </w:r>
      <w:proofErr w:type="spellEnd"/>
      <w:r w:rsidR="0070713A">
        <w:t xml:space="preserve"> Exchange </w:t>
      </w:r>
      <w:proofErr w:type="spellStart"/>
      <w:r w:rsidR="0070713A">
        <w:t>Rate</w:t>
      </w:r>
      <w:proofErr w:type="spellEnd"/>
      <w:r w:rsidR="0070713A">
        <w:t>)</w:t>
      </w:r>
      <w:r w:rsidR="00394E78">
        <w:t xml:space="preserve"> o tipo de cambio fijo</w:t>
      </w:r>
      <w:r w:rsidR="00451401">
        <w:t>. Este T.C.</w:t>
      </w:r>
      <w:r w:rsidR="00784D13">
        <w:t xml:space="preserve"> está determinado con base </w:t>
      </w:r>
      <w:r>
        <w:t xml:space="preserve">en </w:t>
      </w:r>
      <w:r w:rsidR="00784D13">
        <w:t>el</w:t>
      </w:r>
      <w:r>
        <w:t xml:space="preserve"> promedio de </w:t>
      </w:r>
      <w:r w:rsidR="00784D13">
        <w:t xml:space="preserve">las </w:t>
      </w:r>
      <w:r>
        <w:t>cotizaciones del mercado</w:t>
      </w:r>
      <w:r w:rsidR="00784D13">
        <w:t xml:space="preserve"> cambiario </w:t>
      </w:r>
      <w:r w:rsidR="00451401">
        <w:t xml:space="preserve">(de compra/venta) </w:t>
      </w:r>
      <w:r w:rsidR="00784D13">
        <w:t xml:space="preserve">en transacciones realizadas </w:t>
      </w:r>
      <w:r>
        <w:t xml:space="preserve">al mayoreo </w:t>
      </w:r>
      <w:r w:rsidR="00784D13">
        <w:t xml:space="preserve">y </w:t>
      </w:r>
      <w:r>
        <w:t>para operaciones liquidables</w:t>
      </w:r>
      <w:r w:rsidR="00451401">
        <w:t xml:space="preserve">, es decir, aquellas que se pueden realizar por la cantidad de moneda extranjera disponible </w:t>
      </w:r>
      <w:r w:rsidR="000637E9">
        <w:t xml:space="preserve">para atender su demanda. Todo ello tras </w:t>
      </w:r>
      <w:r>
        <w:t xml:space="preserve">24 horas </w:t>
      </w:r>
      <w:r w:rsidR="000637E9">
        <w:t>de operaciones</w:t>
      </w:r>
      <w:r w:rsidR="00963C90">
        <w:t xml:space="preserve"> </w:t>
      </w:r>
      <w:r>
        <w:t>bancari</w:t>
      </w:r>
      <w:r w:rsidR="00963C90">
        <w:t>o</w:t>
      </w:r>
      <w:r>
        <w:t>s.</w:t>
      </w:r>
    </w:p>
    <w:p w14:paraId="63866143" w14:textId="22FA3BD8" w:rsidR="00D542E0" w:rsidRDefault="00D542E0" w:rsidP="00D542E0">
      <w:pPr>
        <w:jc w:val="both"/>
      </w:pPr>
      <w:r>
        <w:t xml:space="preserve">Esta cifra es publicada </w:t>
      </w:r>
      <w:r w:rsidR="000637E9">
        <w:t xml:space="preserve">también es publicada </w:t>
      </w:r>
      <w:r>
        <w:t>en el Diario Oficial de la Federación (DOF), con un día hábil bancario de retraso luego de la fecha de su determinación,</w:t>
      </w:r>
      <w:r w:rsidR="00394E78">
        <w:t xml:space="preserve"> por ejemplo, </w:t>
      </w:r>
      <w:r>
        <w:t>s</w:t>
      </w:r>
      <w:r w:rsidR="00394E78">
        <w:t>i el día</w:t>
      </w:r>
      <w:r>
        <w:t xml:space="preserve"> 0</w:t>
      </w:r>
      <w:r w:rsidR="00963C90">
        <w:t>1</w:t>
      </w:r>
      <w:r>
        <w:t xml:space="preserve"> de junio de 20</w:t>
      </w:r>
      <w:r w:rsidR="00963C90">
        <w:t>20</w:t>
      </w:r>
      <w:r>
        <w:t xml:space="preserve"> el </w:t>
      </w:r>
      <w:r w:rsidR="00963C90">
        <w:t>T.C.</w:t>
      </w:r>
      <w:r>
        <w:t xml:space="preserve"> FIX está en </w:t>
      </w:r>
      <w:r w:rsidR="00963C90">
        <w:t>22</w:t>
      </w:r>
      <w:r>
        <w:t>.95</w:t>
      </w:r>
      <w:r w:rsidR="00963C90">
        <w:t>32</w:t>
      </w:r>
      <w:r>
        <w:t>, el DOF</w:t>
      </w:r>
      <w:r w:rsidR="00394E78">
        <w:t xml:space="preserve"> lo</w:t>
      </w:r>
      <w:r>
        <w:t xml:space="preserve"> publicará el </w:t>
      </w:r>
      <w:r w:rsidR="00963C90">
        <w:t>02</w:t>
      </w:r>
      <w:r>
        <w:t xml:space="preserve"> de junio sólo con </w:t>
      </w:r>
      <w:r w:rsidR="00394E78">
        <w:t>el propósito de</w:t>
      </w:r>
      <w:r>
        <w:t xml:space="preserve"> i</w:t>
      </w:r>
      <w:r w:rsidR="000637E9">
        <w:t>nformarlo</w:t>
      </w:r>
      <w:r>
        <w:t>.</w:t>
      </w:r>
    </w:p>
    <w:p w14:paraId="11D74DD3" w14:textId="6982FCFD" w:rsidR="00D542E0" w:rsidRDefault="00451401" w:rsidP="00D542E0">
      <w:pPr>
        <w:jc w:val="both"/>
      </w:pPr>
      <w:r>
        <w:t>El</w:t>
      </w:r>
      <w:r w:rsidR="00D542E0">
        <w:t xml:space="preserve"> tipo de cambio FIX se determinará al comparar</w:t>
      </w:r>
      <w:r w:rsidR="000637E9">
        <w:t xml:space="preserve"> el precio de</w:t>
      </w:r>
      <w:r w:rsidR="00D542E0">
        <w:t xml:space="preserve"> la moneda local contra </w:t>
      </w:r>
      <w:r w:rsidR="000637E9">
        <w:t xml:space="preserve">el precio </w:t>
      </w:r>
      <w:r w:rsidR="00D542E0">
        <w:t xml:space="preserve">de </w:t>
      </w:r>
      <w:r w:rsidR="00B618FB">
        <w:t>otra</w:t>
      </w:r>
      <w:r w:rsidR="00D542E0">
        <w:t xml:space="preserve"> moneda</w:t>
      </w:r>
      <w:r w:rsidR="00B618FB">
        <w:t>, en el caso de México, dicha comparación se hace generalmente con el USD.</w:t>
      </w:r>
    </w:p>
    <w:p w14:paraId="5FC3D091" w14:textId="107B6392" w:rsidR="00B27418" w:rsidRDefault="00D542E0" w:rsidP="00D542E0">
      <w:pPr>
        <w:jc w:val="both"/>
      </w:pPr>
      <w:r>
        <w:t>Es decir, el banco central de cada país compra y vende su propia moneda en el mercado de divisas a cambio de la moneda a la que está vinculado, que en este caso sería el dólar.</w:t>
      </w:r>
    </w:p>
    <w:p w14:paraId="68A788D1" w14:textId="77777777" w:rsidR="00B27418" w:rsidRDefault="00B27418">
      <w:r>
        <w:br w:type="page"/>
      </w:r>
    </w:p>
    <w:p w14:paraId="6ACB3349" w14:textId="089A00F2" w:rsidR="00845684" w:rsidRPr="00CB0399" w:rsidRDefault="00B27418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Considerandos:</w:t>
      </w:r>
    </w:p>
    <w:p w14:paraId="6D38E7AD" w14:textId="4CC2799E" w:rsidR="00C96CB8" w:rsidRDefault="00C96CB8" w:rsidP="00C96CB8">
      <w:pPr>
        <w:pStyle w:val="Prrafodelista"/>
        <w:numPr>
          <w:ilvl w:val="0"/>
          <w:numId w:val="5"/>
        </w:numPr>
        <w:jc w:val="both"/>
      </w:pPr>
      <w:r>
        <w:t>Se está estudiando un universo de datos</w:t>
      </w:r>
      <w:r w:rsidR="00D76219">
        <w:t>, no una muestra</w:t>
      </w:r>
      <w:r>
        <w:t xml:space="preserve">, porque se estudian todos los valores de tipo de cambio </w:t>
      </w:r>
      <w:r w:rsidR="00D76219">
        <w:t>del régimen cambiario vigente en México.</w:t>
      </w:r>
    </w:p>
    <w:p w14:paraId="5BC08454" w14:textId="7437CA57" w:rsidR="008D7C0A" w:rsidRDefault="008D7C0A" w:rsidP="008D7C0A">
      <w:pPr>
        <w:pStyle w:val="Prrafodelista"/>
        <w:numPr>
          <w:ilvl w:val="1"/>
          <w:numId w:val="5"/>
        </w:numPr>
        <w:jc w:val="both"/>
      </w:pPr>
      <w:r>
        <w:t>Si bien ya el TC estaba en libre flotación muy al principio la política cambiaria era de “libre flotación controlada”</w:t>
      </w:r>
    </w:p>
    <w:p w14:paraId="4C2A5067" w14:textId="1A0A550A" w:rsidR="00D76219" w:rsidRDefault="00A4303C" w:rsidP="00C96CB8">
      <w:pPr>
        <w:pStyle w:val="Prrafodelista"/>
        <w:numPr>
          <w:ilvl w:val="0"/>
          <w:numId w:val="5"/>
        </w:numPr>
        <w:jc w:val="both"/>
      </w:pPr>
      <w:r>
        <w:t>Se está estudiando un tipo de cambio específico (FIX en el caso de Banxico) y otro no determinado (</w:t>
      </w:r>
      <w:proofErr w:type="spellStart"/>
      <w:r>
        <w:t>Investing</w:t>
      </w:r>
      <w:proofErr w:type="spellEnd"/>
      <w:r>
        <w:t>)</w:t>
      </w:r>
      <w:r w:rsidR="00312A74">
        <w:t xml:space="preserve"> que resultó de un cálculo.</w:t>
      </w:r>
    </w:p>
    <w:p w14:paraId="196D335B" w14:textId="30587E5A" w:rsidR="00312A74" w:rsidRDefault="00312A74" w:rsidP="00C96CB8">
      <w:pPr>
        <w:pStyle w:val="Prrafodelista"/>
        <w:numPr>
          <w:ilvl w:val="0"/>
          <w:numId w:val="5"/>
        </w:numPr>
        <w:jc w:val="both"/>
      </w:pPr>
      <w:r>
        <w:t xml:space="preserve">La serie de tiempo no es continua, ya que no están </w:t>
      </w:r>
      <w:r w:rsidR="00A45797">
        <w:t xml:space="preserve">en los </w:t>
      </w:r>
      <w:proofErr w:type="spellStart"/>
      <w:r w:rsidR="00A45797">
        <w:t>df</w:t>
      </w:r>
      <w:proofErr w:type="spellEnd"/>
      <w:r w:rsidR="00A45797">
        <w:t xml:space="preserve"> </w:t>
      </w:r>
      <w:r>
        <w:t>los fines de semana y los días feriados oficiales.</w:t>
      </w:r>
    </w:p>
    <w:p w14:paraId="4DF4054E" w14:textId="0D7F9659" w:rsidR="00A45797" w:rsidRDefault="00A45797" w:rsidP="00C96CB8">
      <w:pPr>
        <w:pStyle w:val="Prrafodelista"/>
        <w:numPr>
          <w:ilvl w:val="0"/>
          <w:numId w:val="5"/>
        </w:numPr>
        <w:jc w:val="both"/>
      </w:pPr>
      <w:r>
        <w:t xml:space="preserve">Los </w:t>
      </w:r>
      <w:proofErr w:type="spellStart"/>
      <w:r>
        <w:t>df</w:t>
      </w:r>
      <w:proofErr w:type="spellEnd"/>
      <w:r>
        <w:t xml:space="preserve"> sólo cuentan con dos variables:</w:t>
      </w:r>
    </w:p>
    <w:p w14:paraId="72B78BED" w14:textId="6925B60F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La fecha de determinación</w:t>
      </w:r>
      <w:r w:rsidR="0060147C">
        <w:t xml:space="preserve"> del TC</w:t>
      </w:r>
    </w:p>
    <w:p w14:paraId="4C2DAFC5" w14:textId="151997F5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El tipo de cambio de la relación USD/MXN</w:t>
      </w:r>
    </w:p>
    <w:p w14:paraId="11E74149" w14:textId="66C63AA8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¿Cuántos pesos mexicanos son equivalente a un dólar estadounidense?</w:t>
      </w:r>
    </w:p>
    <w:p w14:paraId="5DC53DBC" w14:textId="1A90B72C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Representados en pesos mexicanos con 4 decimales</w:t>
      </w:r>
    </w:p>
    <w:p w14:paraId="1723046E" w14:textId="2CCA700A" w:rsidR="00B27418" w:rsidRDefault="007A08A6" w:rsidP="00D542E0">
      <w:pPr>
        <w:jc w:val="both"/>
      </w:pPr>
      <w:r>
        <w:t>¿</w:t>
      </w:r>
      <w:r w:rsidR="00B27418">
        <w:t xml:space="preserve">El tipo de cambio es causa y efecto </w:t>
      </w:r>
      <w:r w:rsidR="00465D61">
        <w:t>en la economía</w:t>
      </w:r>
      <w:r>
        <w:t>?</w:t>
      </w:r>
    </w:p>
    <w:p w14:paraId="62424C0B" w14:textId="77777777" w:rsidR="00B618FB" w:rsidRPr="00CB0399" w:rsidRDefault="00E470F1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Determinantes del tipo de cambio</w:t>
      </w:r>
    </w:p>
    <w:p w14:paraId="7D79B2F3" w14:textId="2101EF33" w:rsidR="00E470F1" w:rsidRPr="005A4D67" w:rsidRDefault="00E470F1" w:rsidP="00D542E0">
      <w:pPr>
        <w:jc w:val="both"/>
        <w:rPr>
          <w:b/>
          <w:bCs/>
        </w:rPr>
      </w:pPr>
      <w:r w:rsidRPr="005A4D67">
        <w:rPr>
          <w:b/>
          <w:bCs/>
        </w:rPr>
        <w:t>Inflación</w:t>
      </w:r>
    </w:p>
    <w:p w14:paraId="2E861D39" w14:textId="7193D899" w:rsidR="00E470F1" w:rsidRDefault="00E470F1" w:rsidP="00D542E0">
      <w:pPr>
        <w:jc w:val="both"/>
      </w:pPr>
      <w:r>
        <w:t xml:space="preserve">Variación en </w:t>
      </w:r>
      <w:proofErr w:type="spellStart"/>
      <w:r w:rsidR="00DF4B3F">
        <w:t>m_y</w:t>
      </w:r>
      <w:proofErr w:type="spellEnd"/>
      <w:r w:rsidR="00DF4B3F">
        <w:t>/</w:t>
      </w:r>
      <w:proofErr w:type="spellStart"/>
      <w:r w:rsidR="00DF4B3F">
        <w:t>m_x</w:t>
      </w:r>
      <w:proofErr w:type="spellEnd"/>
      <w:r w:rsidR="00DF4B3F">
        <w:t xml:space="preserve"> = </w:t>
      </w:r>
      <w:proofErr w:type="spellStart"/>
      <w:r w:rsidR="00DF4B3F">
        <w:t>inflacion_y</w:t>
      </w:r>
      <w:proofErr w:type="spellEnd"/>
      <w:r w:rsidR="00DF4B3F">
        <w:t xml:space="preserve"> – </w:t>
      </w:r>
      <w:proofErr w:type="spellStart"/>
      <w:r w:rsidR="00DF4B3F">
        <w:t>inflación_x</w:t>
      </w:r>
      <w:proofErr w:type="spellEnd"/>
    </w:p>
    <w:p w14:paraId="14A12478" w14:textId="5199C918" w:rsidR="00A41E8B" w:rsidRPr="006F2295" w:rsidRDefault="00916674" w:rsidP="00D542E0">
      <w:pPr>
        <w:jc w:val="both"/>
        <w:rPr>
          <w:b/>
          <w:bCs/>
        </w:rPr>
      </w:pPr>
      <w:r>
        <w:t>El p</w:t>
      </w:r>
      <w:r w:rsidR="005D39AC">
        <w:t xml:space="preserve">recio </w:t>
      </w:r>
      <w:r>
        <w:t xml:space="preserve">de un </w:t>
      </w:r>
      <w:r w:rsidR="005D39AC">
        <w:t xml:space="preserve">activo en </w:t>
      </w:r>
      <w:r>
        <w:t>Europa</w:t>
      </w:r>
      <w:r w:rsidR="005D39AC">
        <w:t xml:space="preserve"> es </w:t>
      </w:r>
      <w:r>
        <w:t xml:space="preserve">de </w:t>
      </w:r>
      <w:r w:rsidR="005D39AC">
        <w:t xml:space="preserve">200 euros y en </w:t>
      </w:r>
      <w:r>
        <w:t>Japón</w:t>
      </w:r>
      <w:r w:rsidR="005D39AC">
        <w:t xml:space="preserve"> es </w:t>
      </w:r>
      <w:r w:rsidR="007D6E64">
        <w:t>8</w:t>
      </w:r>
      <w:r w:rsidR="005D39AC">
        <w:t>,000</w:t>
      </w:r>
      <w:r w:rsidR="00D9424E">
        <w:t xml:space="preserve"> yenes</w:t>
      </w:r>
      <w:r w:rsidR="005D39AC">
        <w:t xml:space="preserve">. </w:t>
      </w:r>
      <w:r>
        <w:t>La paridad de</w:t>
      </w:r>
      <w:r w:rsidR="005D39AC">
        <w:t xml:space="preserve">l tipo de cambio </w:t>
      </w:r>
      <w:r w:rsidR="007D6E64">
        <w:t>8</w:t>
      </w:r>
      <w:r w:rsidR="005D39AC">
        <w:t xml:space="preserve">,000/200 </w:t>
      </w:r>
      <w:r>
        <w:t>es de</w:t>
      </w:r>
      <w:r w:rsidR="005D39AC">
        <w:t xml:space="preserve"> </w:t>
      </w:r>
      <w:r w:rsidR="007D6E64" w:rsidRPr="006F2295">
        <w:rPr>
          <w:b/>
          <w:bCs/>
        </w:rPr>
        <w:t>40</w:t>
      </w:r>
    </w:p>
    <w:p w14:paraId="5C16B1D2" w14:textId="77777777" w:rsidR="00FE25BC" w:rsidRDefault="00A41E8B" w:rsidP="00D542E0">
      <w:pPr>
        <w:jc w:val="both"/>
      </w:pPr>
      <w:r>
        <w:t>Es decir</w:t>
      </w:r>
      <w:r w:rsidR="00FE25BC">
        <w:t>:</w:t>
      </w:r>
    </w:p>
    <w:p w14:paraId="1437F297" w14:textId="76C0715D" w:rsidR="00FE25BC" w:rsidRDefault="00FE25BC" w:rsidP="00FE25BC">
      <w:pPr>
        <w:pStyle w:val="Prrafodelista"/>
        <w:numPr>
          <w:ilvl w:val="0"/>
          <w:numId w:val="1"/>
        </w:numPr>
        <w:jc w:val="both"/>
      </w:pPr>
      <w:r>
        <w:t xml:space="preserve">1 </w:t>
      </w:r>
      <w:r w:rsidR="00A41E8B">
        <w:t>euro equivaldría a 40.00</w:t>
      </w:r>
      <w:r w:rsidR="00AE57DF">
        <w:t>00</w:t>
      </w:r>
      <w:r w:rsidR="00A41E8B">
        <w:t xml:space="preserve"> yenes</w:t>
      </w:r>
    </w:p>
    <w:p w14:paraId="4D2035A9" w14:textId="4FC9F246" w:rsidR="00A41E8B" w:rsidRDefault="00FE25BC" w:rsidP="00FE25BC">
      <w:pPr>
        <w:pStyle w:val="Prrafodelista"/>
        <w:numPr>
          <w:ilvl w:val="0"/>
          <w:numId w:val="1"/>
        </w:numPr>
        <w:jc w:val="both"/>
      </w:pPr>
      <w:r>
        <w:t>0.025</w:t>
      </w:r>
      <w:r w:rsidR="00AE57DF">
        <w:t>0</w:t>
      </w:r>
      <w:r>
        <w:t xml:space="preserve"> yenes equivalen a 1 euro</w:t>
      </w:r>
    </w:p>
    <w:p w14:paraId="3E5FDFC6" w14:textId="4A3B274F" w:rsidR="007D6E64" w:rsidRPr="006F2295" w:rsidRDefault="007D6E64" w:rsidP="00D542E0">
      <w:pPr>
        <w:jc w:val="both"/>
        <w:rPr>
          <w:b/>
          <w:bCs/>
        </w:rPr>
      </w:pPr>
      <w:r>
        <w:t xml:space="preserve">Si </w:t>
      </w:r>
      <w:r w:rsidR="007B6CF1">
        <w:t>hay un aumento</w:t>
      </w:r>
      <w:r w:rsidR="00AE57DF">
        <w:t xml:space="preserve"> en un mes</w:t>
      </w:r>
      <w:r w:rsidR="007B6CF1">
        <w:t xml:space="preserve"> en</w:t>
      </w:r>
      <w:r>
        <w:t xml:space="preserve"> la inflación</w:t>
      </w:r>
      <w:r w:rsidR="00FE25BC">
        <w:t xml:space="preserve"> en Europa</w:t>
      </w:r>
      <w:r>
        <w:t xml:space="preserve"> </w:t>
      </w:r>
      <w:r w:rsidR="007B6CF1">
        <w:t>d</w:t>
      </w:r>
      <w:r>
        <w:t xml:space="preserve">el </w:t>
      </w:r>
      <w:r w:rsidR="00D9424E">
        <w:t>4</w:t>
      </w:r>
      <w:r>
        <w:t>%</w:t>
      </w:r>
      <w:r w:rsidR="007B6CF1">
        <w:t xml:space="preserve"> y</w:t>
      </w:r>
      <w:r>
        <w:t xml:space="preserve"> </w:t>
      </w:r>
      <w:r w:rsidR="00AE57DF">
        <w:t xml:space="preserve">el </w:t>
      </w:r>
      <w:r>
        <w:t>nuevo precio es 20</w:t>
      </w:r>
      <w:r w:rsidR="00D9424E">
        <w:t>8</w:t>
      </w:r>
      <w:r>
        <w:t xml:space="preserve"> euros</w:t>
      </w:r>
      <w:r w:rsidR="007B6CF1">
        <w:t>,</w:t>
      </w:r>
      <w:r>
        <w:t xml:space="preserve"> y en </w:t>
      </w:r>
      <w:r w:rsidR="00916674">
        <w:t>J</w:t>
      </w:r>
      <w:r w:rsidR="007B6CF1">
        <w:t>apón</w:t>
      </w:r>
      <w:r>
        <w:t xml:space="preserve"> </w:t>
      </w:r>
      <w:r w:rsidR="005F1673">
        <w:t xml:space="preserve">la inflación </w:t>
      </w:r>
      <w:r w:rsidR="007B6CF1">
        <w:t>creció</w:t>
      </w:r>
      <w:r w:rsidR="00AE57DF">
        <w:t xml:space="preserve"> </w:t>
      </w:r>
      <w:r w:rsidR="005F1673">
        <w:t>8%</w:t>
      </w:r>
      <w:r w:rsidR="007B6CF1">
        <w:t xml:space="preserve"> y el </w:t>
      </w:r>
      <w:r w:rsidR="005F1673">
        <w:t xml:space="preserve">nuevo precio es </w:t>
      </w:r>
      <w:r w:rsidR="007B6CF1">
        <w:t xml:space="preserve">de </w:t>
      </w:r>
      <w:r w:rsidR="005F1673">
        <w:t>8,640</w:t>
      </w:r>
      <w:r w:rsidR="007B6CF1">
        <w:t xml:space="preserve"> yenes</w:t>
      </w:r>
      <w:r w:rsidR="005F1673">
        <w:t xml:space="preserve">. </w:t>
      </w:r>
      <w:r w:rsidR="00AE57DF">
        <w:t>La paridad en e</w:t>
      </w:r>
      <w:r w:rsidR="005F1673">
        <w:t>l tipo de cambio 8,640/2</w:t>
      </w:r>
      <w:r w:rsidR="00D9424E">
        <w:t>08</w:t>
      </w:r>
      <w:r w:rsidR="005F1673">
        <w:t xml:space="preserve"> </w:t>
      </w:r>
      <w:r w:rsidR="00AE57DF">
        <w:t>sería</w:t>
      </w:r>
      <w:r w:rsidR="005F1673">
        <w:t xml:space="preserve"> </w:t>
      </w:r>
      <w:r w:rsidR="00D9424E" w:rsidRPr="006F2295">
        <w:rPr>
          <w:b/>
          <w:bCs/>
        </w:rPr>
        <w:t>41.5384</w:t>
      </w:r>
    </w:p>
    <w:p w14:paraId="2E15AB85" w14:textId="3A27561A" w:rsidR="005A4D67" w:rsidRDefault="005A4D67" w:rsidP="00D542E0">
      <w:pPr>
        <w:jc w:val="both"/>
        <w:rPr>
          <w:b/>
          <w:bCs/>
        </w:rPr>
      </w:pPr>
      <w:r>
        <w:rPr>
          <w:b/>
          <w:bCs/>
        </w:rPr>
        <w:t>Balanza de pagos</w:t>
      </w:r>
    </w:p>
    <w:p w14:paraId="121F041B" w14:textId="638551FB" w:rsidR="005A4D67" w:rsidRDefault="005A4D67" w:rsidP="00D542E0">
      <w:pPr>
        <w:jc w:val="both"/>
      </w:pPr>
      <w:r>
        <w:t>Cuenta corriente: transacciones de producto y servicios.</w:t>
      </w:r>
    </w:p>
    <w:p w14:paraId="64D02248" w14:textId="2CF90B48" w:rsidR="005A4D67" w:rsidRDefault="005A4D67" w:rsidP="00D542E0">
      <w:pPr>
        <w:jc w:val="both"/>
      </w:pPr>
      <w:r>
        <w:t>Cuenta de capital: entradas y salidas de capital.</w:t>
      </w:r>
    </w:p>
    <w:p w14:paraId="69329C1A" w14:textId="022050D6" w:rsidR="005A4D67" w:rsidRDefault="00102247" w:rsidP="00D542E0">
      <w:pPr>
        <w:jc w:val="both"/>
      </w:pPr>
      <w:r>
        <w:t>Si hay superávit en la cuenta corriente, indica que hay mayor flujo de capital hacia dentro del país.</w:t>
      </w:r>
    </w:p>
    <w:p w14:paraId="40DE7940" w14:textId="2CC9D55F" w:rsidR="00102247" w:rsidRDefault="00102247" w:rsidP="00D542E0">
      <w:pPr>
        <w:jc w:val="both"/>
      </w:pPr>
      <w:r>
        <w:t>Si hay déficit en la cuenta corriente, indica que hay mayor flujo de capital hacia afuera del país.</w:t>
      </w:r>
    </w:p>
    <w:p w14:paraId="560B56C2" w14:textId="4EC0F22F" w:rsidR="00102247" w:rsidRDefault="00102247" w:rsidP="00D542E0">
      <w:pPr>
        <w:jc w:val="both"/>
      </w:pPr>
      <w:r>
        <w:t xml:space="preserve">Por tanto, si hay un déficit en la cuenta corriente </w:t>
      </w:r>
      <w:r w:rsidR="002D39A0">
        <w:t xml:space="preserve">de forma </w:t>
      </w:r>
      <w:r>
        <w:t>con</w:t>
      </w:r>
      <w:r w:rsidR="002C5C8F">
        <w:t>stante</w:t>
      </w:r>
      <w:r>
        <w:t xml:space="preserve">, puede </w:t>
      </w:r>
      <w:r w:rsidR="002C5C8F">
        <w:t>producirse</w:t>
      </w:r>
      <w:r>
        <w:t xml:space="preserve"> una depreciación </w:t>
      </w:r>
      <w:r w:rsidR="002C5C8F">
        <w:t>de la divisa, ya que tiene que salir un mayor volumen de la divisa al exterior, porque se debe hacer el cambio con otra divisa para hacer los pagos internacionales.</w:t>
      </w:r>
    </w:p>
    <w:p w14:paraId="42219AE5" w14:textId="14CB6874" w:rsidR="002D39A0" w:rsidRDefault="002D39A0" w:rsidP="00D542E0">
      <w:pPr>
        <w:jc w:val="both"/>
        <w:rPr>
          <w:b/>
          <w:bCs/>
        </w:rPr>
      </w:pPr>
      <w:r w:rsidRPr="002D39A0">
        <w:rPr>
          <w:b/>
          <w:bCs/>
        </w:rPr>
        <w:t>Tipo de interés</w:t>
      </w:r>
    </w:p>
    <w:p w14:paraId="5A72F4FE" w14:textId="6C1EAC78" w:rsidR="002D39A0" w:rsidRDefault="00720EB0" w:rsidP="00D542E0">
      <w:pPr>
        <w:jc w:val="both"/>
      </w:pPr>
      <w:r>
        <w:t xml:space="preserve">Cuando la política monetaria de un país determina </w:t>
      </w:r>
      <w:r w:rsidR="00105F1F">
        <w:t>un</w:t>
      </w:r>
      <w:r>
        <w:t xml:space="preserve">a subida en las tasas de interés, </w:t>
      </w:r>
      <w:r w:rsidR="00105F1F">
        <w:t xml:space="preserve">esto </w:t>
      </w:r>
      <w:r>
        <w:t xml:space="preserve">puede influir en la adquisición de la moneda </w:t>
      </w:r>
      <w:r w:rsidR="00105F1F">
        <w:t xml:space="preserve">local </w:t>
      </w:r>
      <w:r>
        <w:t>de esa nación</w:t>
      </w:r>
      <w:r w:rsidR="00105F1F">
        <w:t>, sobre todo</w:t>
      </w:r>
      <w:r>
        <w:t xml:space="preserve"> para los inversionistas que busquen adquirir bienes, servicios o deuda con esa moneda.</w:t>
      </w:r>
    </w:p>
    <w:p w14:paraId="6FCB7A0B" w14:textId="191CA282" w:rsidR="007A08A6" w:rsidRDefault="007A08A6">
      <w:r>
        <w:br w:type="page"/>
      </w:r>
    </w:p>
    <w:p w14:paraId="24158A8D" w14:textId="22AB95D2" w:rsidR="007A08A6" w:rsidRPr="00CB0399" w:rsidRDefault="007A08A6" w:rsidP="007A08A6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Retos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6833" w:rsidRPr="00894BFD" w14:paraId="33979AB7" w14:textId="77777777" w:rsidTr="006A6833">
        <w:tc>
          <w:tcPr>
            <w:tcW w:w="2207" w:type="dxa"/>
          </w:tcPr>
          <w:p w14:paraId="4B56DB01" w14:textId="667665D8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Tipo</w:t>
            </w:r>
          </w:p>
        </w:tc>
        <w:tc>
          <w:tcPr>
            <w:tcW w:w="2207" w:type="dxa"/>
          </w:tcPr>
          <w:p w14:paraId="5E1CA215" w14:textId="41CDC1F0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Descripción</w:t>
            </w:r>
          </w:p>
        </w:tc>
        <w:tc>
          <w:tcPr>
            <w:tcW w:w="2207" w:type="dxa"/>
          </w:tcPr>
          <w:p w14:paraId="0B82EEFA" w14:textId="059EE324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Problema</w:t>
            </w:r>
          </w:p>
        </w:tc>
        <w:tc>
          <w:tcPr>
            <w:tcW w:w="2207" w:type="dxa"/>
          </w:tcPr>
          <w:p w14:paraId="39169D26" w14:textId="30603399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Solución</w:t>
            </w:r>
          </w:p>
        </w:tc>
      </w:tr>
      <w:tr w:rsidR="006A6833" w14:paraId="475AE92E" w14:textId="77777777" w:rsidTr="006A6833">
        <w:tc>
          <w:tcPr>
            <w:tcW w:w="2207" w:type="dxa"/>
          </w:tcPr>
          <w:p w14:paraId="5A172523" w14:textId="7D50E00E" w:rsidR="006A6833" w:rsidRDefault="006A6833" w:rsidP="007A08A6">
            <w:pPr>
              <w:jc w:val="both"/>
            </w:pPr>
            <w:r>
              <w:t>Homogenización</w:t>
            </w:r>
          </w:p>
        </w:tc>
        <w:tc>
          <w:tcPr>
            <w:tcW w:w="2207" w:type="dxa"/>
          </w:tcPr>
          <w:p w14:paraId="44F89491" w14:textId="694FE961" w:rsidR="006A6833" w:rsidRDefault="006A6833" w:rsidP="007A08A6">
            <w:pPr>
              <w:jc w:val="both"/>
            </w:pPr>
            <w:r>
              <w:t>Diferencias entre los valores de los datos</w:t>
            </w:r>
          </w:p>
        </w:tc>
        <w:tc>
          <w:tcPr>
            <w:tcW w:w="2207" w:type="dxa"/>
          </w:tcPr>
          <w:p w14:paraId="35235B4A" w14:textId="107BE888" w:rsidR="006A6833" w:rsidRDefault="00555B2B" w:rsidP="007A08A6">
            <w:pPr>
              <w:jc w:val="both"/>
            </w:pPr>
            <w:r>
              <w:t>El</w:t>
            </w:r>
            <w:r w:rsidR="006A6833">
              <w:t xml:space="preserve"> </w:t>
            </w:r>
            <w:proofErr w:type="spellStart"/>
            <w:r w:rsidR="006A6833">
              <w:t>df</w:t>
            </w:r>
            <w:r>
              <w:t>_investing</w:t>
            </w:r>
            <w:proofErr w:type="spellEnd"/>
            <w:r w:rsidR="006A6833">
              <w:t xml:space="preserve"> contaba con el valor de apertura y cierre, máximos y mínimos del TC</w:t>
            </w:r>
            <w:r>
              <w:t xml:space="preserve"> en una fecha determinada</w:t>
            </w:r>
            <w:r w:rsidR="006A6833">
              <w:t>.</w:t>
            </w:r>
          </w:p>
          <w:p w14:paraId="0F686B40" w14:textId="449A4219" w:rsidR="006A6833" w:rsidRDefault="006A6833" w:rsidP="007A08A6">
            <w:pPr>
              <w:jc w:val="both"/>
            </w:pPr>
            <w:r>
              <w:t xml:space="preserve">El </w:t>
            </w:r>
            <w:proofErr w:type="spellStart"/>
            <w:r w:rsidR="00555B2B">
              <w:t>df_banxico</w:t>
            </w:r>
            <w:proofErr w:type="spellEnd"/>
            <w:r>
              <w:t xml:space="preserve"> </w:t>
            </w:r>
            <w:r w:rsidR="00555B2B">
              <w:t xml:space="preserve">cuenta </w:t>
            </w:r>
            <w:r>
              <w:t>sólo el valor promedio de la fecha determinada.</w:t>
            </w:r>
          </w:p>
        </w:tc>
        <w:tc>
          <w:tcPr>
            <w:tcW w:w="2207" w:type="dxa"/>
          </w:tcPr>
          <w:p w14:paraId="33E7314B" w14:textId="7C6A7C4B" w:rsidR="006A6833" w:rsidRDefault="00555B2B" w:rsidP="007A08A6">
            <w:pPr>
              <w:jc w:val="both"/>
            </w:pPr>
            <w:r>
              <w:t xml:space="preserve">Sacar el promedio del valor de apertura y cierre del </w:t>
            </w:r>
            <w:proofErr w:type="spellStart"/>
            <w:r>
              <w:t>df_investing</w:t>
            </w:r>
            <w:proofErr w:type="spellEnd"/>
            <w:r>
              <w:t xml:space="preserve"> para poder hacer un cuadro comparativo entre ambos </w:t>
            </w:r>
            <w:proofErr w:type="spellStart"/>
            <w:r>
              <w:t>df</w:t>
            </w:r>
            <w:proofErr w:type="spellEnd"/>
            <w:r>
              <w:t>.</w:t>
            </w:r>
          </w:p>
        </w:tc>
      </w:tr>
      <w:tr w:rsidR="006A6833" w14:paraId="041F0B04" w14:textId="77777777" w:rsidTr="006A6833">
        <w:tc>
          <w:tcPr>
            <w:tcW w:w="2207" w:type="dxa"/>
          </w:tcPr>
          <w:p w14:paraId="05B068E0" w14:textId="39B158C2" w:rsidR="006A6833" w:rsidRDefault="00555B2B" w:rsidP="007A08A6">
            <w:pPr>
              <w:jc w:val="both"/>
            </w:pPr>
            <w:r>
              <w:t>Limpieza / Homogenización</w:t>
            </w:r>
          </w:p>
        </w:tc>
        <w:tc>
          <w:tcPr>
            <w:tcW w:w="2207" w:type="dxa"/>
          </w:tcPr>
          <w:p w14:paraId="5BB400B6" w14:textId="063281D6" w:rsidR="006A6833" w:rsidRDefault="00F40F3A" w:rsidP="007A08A6">
            <w:pPr>
              <w:jc w:val="both"/>
            </w:pPr>
            <w:r>
              <w:t xml:space="preserve">Diferencia en la continuidad de las fechas de los </w:t>
            </w:r>
            <w:proofErr w:type="spellStart"/>
            <w:r>
              <w:t>df</w:t>
            </w:r>
            <w:proofErr w:type="spellEnd"/>
          </w:p>
        </w:tc>
        <w:tc>
          <w:tcPr>
            <w:tcW w:w="2207" w:type="dxa"/>
          </w:tcPr>
          <w:p w14:paraId="3622F028" w14:textId="75005B7A" w:rsidR="006A6833" w:rsidRDefault="00F40F3A" w:rsidP="007A08A6">
            <w:pPr>
              <w:jc w:val="both"/>
            </w:pPr>
            <w:r>
              <w:t xml:space="preserve">El </w:t>
            </w:r>
            <w:proofErr w:type="spellStart"/>
            <w:r>
              <w:t>df_investing</w:t>
            </w:r>
            <w:proofErr w:type="spellEnd"/>
            <w:r>
              <w:t xml:space="preserve"> contaba con valores en todas las fechas, incluyendo fines de semana y días feriados</w:t>
            </w:r>
            <w:r w:rsidR="006C3FCF">
              <w:t xml:space="preserve"> (aunque sólo repetían el TC del día hábil bancario anterior)</w:t>
            </w:r>
            <w:r>
              <w:t>.</w:t>
            </w:r>
          </w:p>
          <w:p w14:paraId="238C2DD2" w14:textId="7CA67758" w:rsidR="00F40F3A" w:rsidRDefault="00F40F3A" w:rsidP="007A08A6">
            <w:pPr>
              <w:jc w:val="both"/>
            </w:pPr>
            <w:r>
              <w:t xml:space="preserve">El </w:t>
            </w:r>
            <w:proofErr w:type="spellStart"/>
            <w:r>
              <w:t>df_banxico</w:t>
            </w:r>
            <w:proofErr w:type="spellEnd"/>
            <w:r>
              <w:t xml:space="preserve"> contaba sólo con datos en los días hábiles bancarios, </w:t>
            </w:r>
            <w:r w:rsidR="006C3FCF">
              <w:t>y en los fines de semana y días feriados mostraba N/A</w:t>
            </w:r>
          </w:p>
        </w:tc>
        <w:tc>
          <w:tcPr>
            <w:tcW w:w="2207" w:type="dxa"/>
          </w:tcPr>
          <w:p w14:paraId="53C693C0" w14:textId="4BA50C86" w:rsidR="006A6833" w:rsidRDefault="006C3FCF" w:rsidP="007A08A6">
            <w:pPr>
              <w:jc w:val="both"/>
            </w:pPr>
            <w:r>
              <w:t xml:space="preserve">Eliminar de ambos </w:t>
            </w:r>
            <w:proofErr w:type="spellStart"/>
            <w:r>
              <w:t>df</w:t>
            </w:r>
            <w:proofErr w:type="spellEnd"/>
            <w:r>
              <w:t xml:space="preserve"> las fechas correspondientes a los </w:t>
            </w:r>
            <w:r w:rsidR="00894BFD">
              <w:t xml:space="preserve">fines de semana y los </w:t>
            </w:r>
            <w:r>
              <w:t>días feriados</w:t>
            </w:r>
            <w:r w:rsidR="00894BFD">
              <w:t>, para quedarme sólo con los valores dados en días hábiles bancarios.</w:t>
            </w:r>
          </w:p>
        </w:tc>
      </w:tr>
      <w:tr w:rsidR="00894BFD" w14:paraId="37B1706E" w14:textId="77777777" w:rsidTr="006A6833">
        <w:tc>
          <w:tcPr>
            <w:tcW w:w="2207" w:type="dxa"/>
          </w:tcPr>
          <w:p w14:paraId="732D2204" w14:textId="5958D59C" w:rsidR="00894BFD" w:rsidRDefault="00894BFD" w:rsidP="007A08A6">
            <w:pPr>
              <w:jc w:val="both"/>
            </w:pPr>
            <w:r>
              <w:t>Conceptual</w:t>
            </w:r>
          </w:p>
        </w:tc>
        <w:tc>
          <w:tcPr>
            <w:tcW w:w="2207" w:type="dxa"/>
          </w:tcPr>
          <w:p w14:paraId="257EED4A" w14:textId="53F32264" w:rsidR="00894BFD" w:rsidRDefault="00894BFD" w:rsidP="007A08A6">
            <w:pPr>
              <w:jc w:val="both"/>
            </w:pPr>
            <w:r>
              <w:t xml:space="preserve">Diferenciar entre </w:t>
            </w:r>
            <w:r w:rsidR="00B446A9">
              <w:t xml:space="preserve">1) razón de cambio, 2) </w:t>
            </w:r>
            <w:r>
              <w:t>varianza</w:t>
            </w:r>
            <w:r w:rsidR="00B446A9">
              <w:t>, 3) variabilidad</w:t>
            </w:r>
            <w:r>
              <w:t xml:space="preserve"> y </w:t>
            </w:r>
            <w:r w:rsidR="00B446A9">
              <w:t xml:space="preserve">3) </w:t>
            </w:r>
            <w:r>
              <w:t>volatilidad</w:t>
            </w:r>
          </w:p>
        </w:tc>
        <w:tc>
          <w:tcPr>
            <w:tcW w:w="2207" w:type="dxa"/>
          </w:tcPr>
          <w:p w14:paraId="1161F0D9" w14:textId="7126F8F7" w:rsidR="00B446A9" w:rsidRDefault="00EF6800" w:rsidP="007A08A6">
            <w:pPr>
              <w:jc w:val="both"/>
            </w:pPr>
            <w:r>
              <w:t>Usaba indistintamente los términos</w:t>
            </w:r>
          </w:p>
        </w:tc>
        <w:tc>
          <w:tcPr>
            <w:tcW w:w="2207" w:type="dxa"/>
          </w:tcPr>
          <w:p w14:paraId="44603B6C" w14:textId="78F65491" w:rsidR="00EF6800" w:rsidRDefault="00186162" w:rsidP="00EF6800">
            <w:pPr>
              <w:jc w:val="both"/>
            </w:pPr>
            <w:r>
              <w:rPr>
                <w:b/>
                <w:bCs/>
              </w:rPr>
              <w:t>R</w:t>
            </w:r>
            <w:r w:rsidR="00EF6800" w:rsidRPr="00EF6800">
              <w:rPr>
                <w:b/>
                <w:bCs/>
              </w:rPr>
              <w:t>azón de cambio</w:t>
            </w:r>
            <w:r w:rsidR="00EF6800">
              <w:t>: es la medida en que una variable se modifica con relación a otra, compara dos variables a partir de la razón de sus unidades de cambio.</w:t>
            </w:r>
          </w:p>
          <w:p w14:paraId="6E5E6270" w14:textId="424B6F35" w:rsidR="00894BFD" w:rsidRDefault="00186162" w:rsidP="00EF6800">
            <w:pPr>
              <w:jc w:val="both"/>
            </w:pPr>
            <w:r>
              <w:rPr>
                <w:b/>
                <w:bCs/>
              </w:rPr>
              <w:t>V</w:t>
            </w:r>
            <w:r w:rsidR="00EF6800" w:rsidRPr="00EF6800">
              <w:rPr>
                <w:b/>
                <w:bCs/>
              </w:rPr>
              <w:t>aria</w:t>
            </w:r>
            <w:r w:rsidR="00EF6800" w:rsidRPr="00EF6800">
              <w:rPr>
                <w:b/>
                <w:bCs/>
              </w:rPr>
              <w:t>nza</w:t>
            </w:r>
            <w:r w:rsidR="00EF6800">
              <w:t xml:space="preserve"> </w:t>
            </w:r>
            <w:r w:rsidR="00EF6800" w:rsidRPr="00EF6800">
              <w:t xml:space="preserve">es una medida de dispersión que representa la variabilidad de una serie de datos </w:t>
            </w:r>
            <w:r w:rsidR="00EF6800">
              <w:t xml:space="preserve">con </w:t>
            </w:r>
            <w:r w:rsidR="00EF6800" w:rsidRPr="00EF6800">
              <w:t>respecto a su media.</w:t>
            </w:r>
          </w:p>
          <w:p w14:paraId="015AA902" w14:textId="77777777" w:rsidR="00EF6800" w:rsidRDefault="00186162" w:rsidP="00EF6800">
            <w:pPr>
              <w:jc w:val="both"/>
            </w:pPr>
            <w:r w:rsidRPr="00186162">
              <w:rPr>
                <w:b/>
                <w:bCs/>
              </w:rPr>
              <w:t>Variabilidad</w:t>
            </w:r>
            <w:r>
              <w:t xml:space="preserve"> es la cualidad de ser variable.</w:t>
            </w:r>
          </w:p>
          <w:p w14:paraId="75617AD0" w14:textId="36E5E68D" w:rsidR="00186162" w:rsidRPr="00186162" w:rsidRDefault="00186162" w:rsidP="00EF6800">
            <w:pPr>
              <w:jc w:val="both"/>
              <w:rPr>
                <w:b/>
                <w:bCs/>
              </w:rPr>
            </w:pPr>
            <w:r w:rsidRPr="00186162">
              <w:rPr>
                <w:b/>
                <w:bCs/>
              </w:rPr>
              <w:t>Volatilidad</w:t>
            </w:r>
            <w:r w:rsidRPr="00186162">
              <w:t xml:space="preserve"> </w:t>
            </w:r>
            <w:r>
              <w:t>es una medida de riesgo</w:t>
            </w:r>
            <w:r w:rsidR="00C96CB8">
              <w:t>. Resulta</w:t>
            </w:r>
            <w:r>
              <w:t xml:space="preserve"> de la frecuencia e intensidad con que </w:t>
            </w:r>
            <w:r w:rsidR="00C96CB8">
              <w:t>el precio de un activo cambia en el tiempo dentro de un horizonte específico.</w:t>
            </w:r>
          </w:p>
        </w:tc>
      </w:tr>
    </w:tbl>
    <w:p w14:paraId="3C42DB39" w14:textId="77777777" w:rsidR="007A08A6" w:rsidRPr="007A08A6" w:rsidRDefault="007A08A6" w:rsidP="00894BFD">
      <w:pPr>
        <w:jc w:val="both"/>
      </w:pPr>
    </w:p>
    <w:sectPr w:rsidR="007A08A6" w:rsidRPr="007A08A6" w:rsidSect="00D542E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C464" w14:textId="77777777" w:rsidR="00C60F37" w:rsidRDefault="00C60F37" w:rsidP="00677729">
      <w:pPr>
        <w:spacing w:after="0" w:line="240" w:lineRule="auto"/>
      </w:pPr>
      <w:r>
        <w:separator/>
      </w:r>
    </w:p>
  </w:endnote>
  <w:endnote w:type="continuationSeparator" w:id="0">
    <w:p w14:paraId="53F0DDFE" w14:textId="77777777" w:rsidR="00C60F37" w:rsidRDefault="00C60F37" w:rsidP="0067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F9C0E" w14:textId="77777777" w:rsidR="00C60F37" w:rsidRDefault="00C60F37" w:rsidP="00677729">
      <w:pPr>
        <w:spacing w:after="0" w:line="240" w:lineRule="auto"/>
      </w:pPr>
      <w:r>
        <w:separator/>
      </w:r>
    </w:p>
  </w:footnote>
  <w:footnote w:type="continuationSeparator" w:id="0">
    <w:p w14:paraId="121008C4" w14:textId="77777777" w:rsidR="00C60F37" w:rsidRDefault="00C60F37" w:rsidP="00677729">
      <w:pPr>
        <w:spacing w:after="0" w:line="240" w:lineRule="auto"/>
      </w:pPr>
      <w:r>
        <w:continuationSeparator/>
      </w:r>
    </w:p>
  </w:footnote>
  <w:footnote w:id="1">
    <w:p w14:paraId="05DF50F2" w14:textId="65CA1B59" w:rsidR="005A363E" w:rsidRDefault="005A363E">
      <w:pPr>
        <w:pStyle w:val="Textonotapie"/>
      </w:pPr>
      <w:r>
        <w:rPr>
          <w:rStyle w:val="Refdenotaalpie"/>
        </w:rPr>
        <w:footnoteRef/>
      </w:r>
      <w:r>
        <w:t xml:space="preserve">Sitio web de Banxico educa. Consultado 14/06/2020. Disponible en: </w:t>
      </w:r>
      <w:hyperlink r:id="rId1" w:history="1">
        <w:r>
          <w:rPr>
            <w:rStyle w:val="Hipervnculo"/>
          </w:rPr>
          <w:t>http://educa.banxico.org.mx/banco_mexico_banca_central/sist-finc-tipo-cambio.html</w:t>
        </w:r>
      </w:hyperlink>
    </w:p>
  </w:footnote>
  <w:footnote w:id="2">
    <w:p w14:paraId="38BDCF4D" w14:textId="7CB0D8B6" w:rsidR="00344ECD" w:rsidRDefault="00344EC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anchor=":~:text=%C2%BFA%20qu%C3%A9%20se%20refieren%20las,del%20ingl%C3%A9s%20Fixed%20Exchange%20Rate." w:history="1">
        <w:r>
          <w:rPr>
            <w:rStyle w:val="Hipervnculo"/>
          </w:rPr>
          <w:t>https://www.elcontribuyente.mx/2017/06/que-es-el-tipo-de-cambio-fix/#:~:text=%C2%BFA%20qu%C3%A9%20se%20refieren%20las,del%20ingl%C3%A9s%20Fixed%20Exchange%20Rate.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128" w14:textId="77777777" w:rsidR="00677729" w:rsidRDefault="006777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B8C0F" w14:textId="77777777" w:rsidR="00D542E0" w:rsidRDefault="00D54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5B5C"/>
    <w:multiLevelType w:val="hybridMultilevel"/>
    <w:tmpl w:val="C9882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7298"/>
    <w:multiLevelType w:val="hybridMultilevel"/>
    <w:tmpl w:val="F3385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6779"/>
    <w:multiLevelType w:val="hybridMultilevel"/>
    <w:tmpl w:val="35743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4782"/>
    <w:multiLevelType w:val="multilevel"/>
    <w:tmpl w:val="03006E0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B1C5BD5"/>
    <w:multiLevelType w:val="hybridMultilevel"/>
    <w:tmpl w:val="804ED6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B00"/>
    <w:multiLevelType w:val="hybridMultilevel"/>
    <w:tmpl w:val="B2806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C"/>
    <w:rsid w:val="00032834"/>
    <w:rsid w:val="000637E9"/>
    <w:rsid w:val="000939CA"/>
    <w:rsid w:val="000A085C"/>
    <w:rsid w:val="000A262D"/>
    <w:rsid w:val="000C4389"/>
    <w:rsid w:val="000C5ED4"/>
    <w:rsid w:val="000E42FE"/>
    <w:rsid w:val="00102247"/>
    <w:rsid w:val="00105F1F"/>
    <w:rsid w:val="00181DBA"/>
    <w:rsid w:val="00186162"/>
    <w:rsid w:val="00190732"/>
    <w:rsid w:val="001B02E0"/>
    <w:rsid w:val="001D650F"/>
    <w:rsid w:val="001D7470"/>
    <w:rsid w:val="002610C3"/>
    <w:rsid w:val="002657EB"/>
    <w:rsid w:val="002C5C8F"/>
    <w:rsid w:val="002D39A0"/>
    <w:rsid w:val="002E63DD"/>
    <w:rsid w:val="00312A74"/>
    <w:rsid w:val="003276E1"/>
    <w:rsid w:val="00333321"/>
    <w:rsid w:val="00336A3F"/>
    <w:rsid w:val="00344ECD"/>
    <w:rsid w:val="003734DF"/>
    <w:rsid w:val="00384001"/>
    <w:rsid w:val="00394E78"/>
    <w:rsid w:val="003D7A1A"/>
    <w:rsid w:val="003F780D"/>
    <w:rsid w:val="00407866"/>
    <w:rsid w:val="00413A2F"/>
    <w:rsid w:val="0041516C"/>
    <w:rsid w:val="0043722E"/>
    <w:rsid w:val="00442900"/>
    <w:rsid w:val="00451401"/>
    <w:rsid w:val="00465D61"/>
    <w:rsid w:val="004C7A08"/>
    <w:rsid w:val="0050752C"/>
    <w:rsid w:val="00530B2E"/>
    <w:rsid w:val="00555B2B"/>
    <w:rsid w:val="00564251"/>
    <w:rsid w:val="00574791"/>
    <w:rsid w:val="005A363E"/>
    <w:rsid w:val="005A4D67"/>
    <w:rsid w:val="005D39AC"/>
    <w:rsid w:val="005F1673"/>
    <w:rsid w:val="0060147C"/>
    <w:rsid w:val="006121B0"/>
    <w:rsid w:val="006470DC"/>
    <w:rsid w:val="0065346F"/>
    <w:rsid w:val="00664677"/>
    <w:rsid w:val="006724A5"/>
    <w:rsid w:val="00677729"/>
    <w:rsid w:val="006A6833"/>
    <w:rsid w:val="006C3FCF"/>
    <w:rsid w:val="006D2920"/>
    <w:rsid w:val="006E0969"/>
    <w:rsid w:val="006F2295"/>
    <w:rsid w:val="00706B80"/>
    <w:rsid w:val="0070713A"/>
    <w:rsid w:val="00720EB0"/>
    <w:rsid w:val="00784D13"/>
    <w:rsid w:val="007A08A6"/>
    <w:rsid w:val="007B6CF1"/>
    <w:rsid w:val="007D6E64"/>
    <w:rsid w:val="007F6D1A"/>
    <w:rsid w:val="00845684"/>
    <w:rsid w:val="008850FE"/>
    <w:rsid w:val="00894BFD"/>
    <w:rsid w:val="00895D55"/>
    <w:rsid w:val="008A4CBE"/>
    <w:rsid w:val="008D7C0A"/>
    <w:rsid w:val="008F22C5"/>
    <w:rsid w:val="0090378D"/>
    <w:rsid w:val="00916674"/>
    <w:rsid w:val="00963C90"/>
    <w:rsid w:val="00967A68"/>
    <w:rsid w:val="009A09C9"/>
    <w:rsid w:val="00A03436"/>
    <w:rsid w:val="00A41E8B"/>
    <w:rsid w:val="00A42389"/>
    <w:rsid w:val="00A4303C"/>
    <w:rsid w:val="00A45797"/>
    <w:rsid w:val="00A904E1"/>
    <w:rsid w:val="00AA6F65"/>
    <w:rsid w:val="00AE57DF"/>
    <w:rsid w:val="00B27418"/>
    <w:rsid w:val="00B446A9"/>
    <w:rsid w:val="00B618FB"/>
    <w:rsid w:val="00B76218"/>
    <w:rsid w:val="00B9472E"/>
    <w:rsid w:val="00BA2664"/>
    <w:rsid w:val="00BC1081"/>
    <w:rsid w:val="00C17680"/>
    <w:rsid w:val="00C56666"/>
    <w:rsid w:val="00C60F37"/>
    <w:rsid w:val="00C9665A"/>
    <w:rsid w:val="00C96CB8"/>
    <w:rsid w:val="00CB0399"/>
    <w:rsid w:val="00CB4EE7"/>
    <w:rsid w:val="00CB7B77"/>
    <w:rsid w:val="00CF3E2F"/>
    <w:rsid w:val="00D542E0"/>
    <w:rsid w:val="00D62858"/>
    <w:rsid w:val="00D76219"/>
    <w:rsid w:val="00D810A1"/>
    <w:rsid w:val="00D9424E"/>
    <w:rsid w:val="00DC3F99"/>
    <w:rsid w:val="00DC7925"/>
    <w:rsid w:val="00DF4B3F"/>
    <w:rsid w:val="00E02D3C"/>
    <w:rsid w:val="00E33240"/>
    <w:rsid w:val="00E435FC"/>
    <w:rsid w:val="00E470F1"/>
    <w:rsid w:val="00EA47B1"/>
    <w:rsid w:val="00ED402A"/>
    <w:rsid w:val="00ED56B5"/>
    <w:rsid w:val="00EF6800"/>
    <w:rsid w:val="00F40F3A"/>
    <w:rsid w:val="00FE25BC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E7B6"/>
  <w15:chartTrackingRefBased/>
  <w15:docId w15:val="{31A27DCB-6DC5-4613-AAD4-27B94C1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729"/>
  </w:style>
  <w:style w:type="paragraph" w:styleId="Piedepgina">
    <w:name w:val="footer"/>
    <w:basedOn w:val="Normal"/>
    <w:link w:val="Piedepgina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729"/>
  </w:style>
  <w:style w:type="paragraph" w:styleId="HTMLconformatoprevio">
    <w:name w:val="HTML Preformatted"/>
    <w:basedOn w:val="Normal"/>
    <w:link w:val="HTMLconformatoprevioCar"/>
    <w:uiPriority w:val="99"/>
    <w:unhideWhenUsed/>
    <w:rsid w:val="003F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80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3F780D"/>
  </w:style>
  <w:style w:type="paragraph" w:styleId="Textonotapie">
    <w:name w:val="footnote text"/>
    <w:basedOn w:val="Normal"/>
    <w:link w:val="TextonotapieCar"/>
    <w:uiPriority w:val="99"/>
    <w:semiHidden/>
    <w:unhideWhenUsed/>
    <w:rsid w:val="00344E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E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EC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44E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lcontribuyente.mx/2017/06/que-es-el-tipo-de-cambio-fix/" TargetMode="External"/><Relationship Id="rId1" Type="http://schemas.openxmlformats.org/officeDocument/2006/relationships/hyperlink" Target="http://educa.banxico.org.mx/banco_mexico_banca_central/sist-finc-tipo-camb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8DD3-6C43-4173-8ED6-A429315B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5</cp:revision>
  <dcterms:created xsi:type="dcterms:W3CDTF">2020-06-15T05:58:00Z</dcterms:created>
  <dcterms:modified xsi:type="dcterms:W3CDTF">2020-06-20T19:18:00Z</dcterms:modified>
</cp:coreProperties>
</file>