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悉尼住宅价格估计：市场变动下的机器学习估价系统</w:t>
      </w:r>
    </w:p>
    <w:p>
      <w:pPr>
        <w:jc w:val="center"/>
      </w:pPr>
      <w:r>
        <w:rPr>
          <w:rFonts w:ascii="Times New Roman" w:hAnsi="Times New Roman" w:eastAsia="宋体"/>
          <w:sz w:val="22"/>
        </w:rPr>
        <w:t>UTS 32513 Machine Learning — Assignment A2 项目报告（Option 2：为实际问题构建机器学习系统）</w:t>
      </w:r>
    </w:p>
    <w:p>
      <w:pPr>
        <w:jc w:val="center"/>
      </w:pPr>
      <w:r>
        <w:rPr>
          <w:rFonts w:ascii="Times New Roman" w:hAnsi="Times New Roman" w:eastAsia="宋体"/>
          <w:sz w:val="22"/>
        </w:rPr>
        <w:t>Hangyu Hu　学号 14735221　2026 年</w:t>
      </w:r>
    </w:p>
    <w:p>
      <w:r>
        <w:rPr>
          <w:rFonts w:ascii="Times New Roman" w:hAnsi="Times New Roman" w:eastAsia="宋体"/>
          <w:i w:val="0"/>
          <w:sz w:val="22"/>
        </w:rPr>
        <w:t>Notebook 链接（Google Colab，公开，可直接 Run all）：</w:t>
      </w:r>
    </w:p>
    <w:p>
      <w:r>
        <w:rPr>
          <w:rFonts w:ascii="Times New Roman" w:hAnsi="Times New Roman" w:eastAsia="宋体"/>
          <w:i w:val="0"/>
          <w:sz w:val="20"/>
        </w:rPr>
        <w:t>https://colab.research.google.com/github/AlexHu1210/uts-ml-a2-sydney-house-price/blob/main/notebook/UTS_ML_A2_Sydney_House_Price.ipynb</w:t>
      </w:r>
    </w:p>
    <w:p>
      <w:r>
        <w:rPr>
          <w:rFonts w:ascii="Times New Roman" w:hAnsi="Times New Roman" w:eastAsia="宋体"/>
          <w:i w:val="0"/>
          <w:sz w:val="22"/>
        </w:rPr>
        <w:t>GitHub 仓库（notebook、数据文件、实现日志）：</w:t>
      </w:r>
    </w:p>
    <w:p>
      <w:r>
        <w:rPr>
          <w:rFonts w:ascii="Times New Roman" w:hAnsi="Times New Roman" w:eastAsia="宋体"/>
          <w:i w:val="0"/>
          <w:sz w:val="20"/>
        </w:rPr>
        <w:t>https://github.com/AlexHu1210/uts-ml-a2-sydney-house-price</w:t>
      </w:r>
    </w:p>
    <w:p>
      <w:r>
        <w:rPr>
          <w:rFonts w:ascii="Times New Roman" w:hAnsi="Times New Roman" w:eastAsia="宋体"/>
          <w:i w:val="0"/>
          <w:sz w:val="20"/>
        </w:rPr>
        <w:t>说明：notebook 是自包含的，数据从上面仓库的公开地址下载，唯一需要额外安装的包 lightgbm 会在第 0 节自动安装。在 Colab 默认 CPU 环境下从头跑完约 3 分钟。本报告中的全部数字都来自该 notebook 的运行输出。</w:t>
      </w:r>
    </w:p>
    <w:p>
      <w:pPr>
        <w:pStyle w:val="Heading1"/>
        <w:spacing w:before="240" w:after="120"/>
      </w:pPr>
      <w:r>
        <w:rPr>
          <w:rFonts w:ascii="Times New Roman" w:hAnsi="Times New Roman" w:eastAsia="黑体"/>
          <w:b/>
          <w:color w:val="000000"/>
          <w:sz w:val="30"/>
        </w:rPr>
        <w:t>1  问题定义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1.1  背景与动机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估计一套住宅能卖多少钱，是银行审批房贷、买卖双方定价和房产网站展示时都要做的事。行业里的做法是自动估价模型（Automated Valuation Model，AVM）：用房屋属性和位置去统计地推算成交价。澳大利亚的 Domain、CoreLogic、PropTrack 都对外发布 AVM 估价，银行也用 AVM 代替上门评估来批贷。IAAO 的《Standard on Automated Valuation Models》（2018）说明了这类模型的检验方式，主要看“估价 / 成交价”这个比值的分布，而不是看美元误差；Zillow 公布 Zestimate 精度时用的是“落在成交价 ±10% 以内的比例”。我在第 4 节采用了同一类指标。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固定规则做不好这件事。同样一套四房的 House，在中央海岸卖 50 万澳元左右，在海港边可以超过 1000 万；而 2020 年初到 2021 年底，整个悉尼市场大约涨了三分之一。按区取中位数的规则不看房子本身，按每平方米单价的规则不看区位，两者都不会随现金利率变化而调整。一个人工估价师不可能每个季度重估一万套房子。数据里有 10,864 条带标签的成交记录，字段正是估价师会看的那些，这满足监督学习的条件。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1.2  任务描述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给定一套大悉尼地区住宅在成交时（或之前）已知的属性，估计它的成交价（澳元）。这是一个监督回归问题：每条训练记录都有数值标签 price。模型实际拟合的是 log(price)，原因在 1.5 节说明，并在第 8 节用实验验证。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1.3  训练阶段与部署阶段的输入输出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247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</w:r>
          </w:p>
        </w:tc>
        <w:tc>
          <w:tcPr>
            <w:tcW w:type="dxa" w:w="7824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训练阶段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输入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sz w:val="19"/>
              </w:rPr>
              <w:t>一条成交记录：房屋属性（num_bed、num_bath、num_parking、property_size、type）、区级属性（suburb、suburb_population、suburb_median_income、suburb_sqkm、suburb_lat、suburb_lng、suburb_elevation、km_from_cbd）、成交时间（date_sold，拆成 year 和 month）、两个宏观序列（cash_rate、property_inflation_index）。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标签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sz w:val="19"/>
              </w:rPr>
              <w:t>price：正整数，成交价（澳元）。模型拟合 log(price)。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一个例子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sz w:val="19"/>
              </w:rPr>
              <w:t>Halekulani 一套 4 房 2 卫、594 m²、离 CBD 78.5 km 的 House，2016-01-13 成交 → 标签 525,000。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247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</w:r>
          </w:p>
        </w:tc>
        <w:tc>
          <w:tcPr>
            <w:tcW w:type="dxa" w:w="7824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部署阶段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输入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sz w:val="19"/>
              </w:rPr>
              <w:t>一套尚未成交的房子的同类属性。property_inflation_index 必须是最新一期已经公布的值，不能是未来的值（这是潜在的泄漏来源，第 8 节 C′ 实验专门测了这一点）。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输出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sz w:val="19"/>
              </w:rPr>
              <w:t>成交价的点估计（澳元，由预测的 log 值取指数得到），加上分位数模型给出的 q10–q90 区间和一个偏保守的放贷参考值（q25）。第 11 节的 estimate_price() 函数就是这个接口。</w:t>
            </w:r>
          </w:p>
        </w:tc>
      </w:tr>
    </w:tbl>
    <w:p>
      <w:pPr>
        <w:spacing w:after="40"/>
      </w:pP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1.4  清洗后的输入规格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下表由清洗后的数据框直接生成，范围是模型实际看到的范围。单位和备注是给第三方构造合法输入时需要的信息。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041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字段</w:t>
            </w:r>
          </w:p>
        </w:tc>
        <w:tc>
          <w:tcPr>
            <w:tcW w:type="dxa" w:w="737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类型</w:t>
            </w:r>
          </w:p>
        </w:tc>
        <w:tc>
          <w:tcPr>
            <w:tcW w:type="dxa" w:w="907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单位</w:t>
            </w:r>
          </w:p>
        </w:tc>
        <w:tc>
          <w:tcPr>
            <w:tcW w:type="dxa" w:w="2381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清洗后范围</w:t>
            </w:r>
          </w:p>
        </w:tc>
        <w:tc>
          <w:tcPr>
            <w:tcW w:type="dxa" w:w="3005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num_bed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int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个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0–10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卧室数；studio 允许为 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num_bath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int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个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0–7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浴室数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num_parking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int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个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0–8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车位数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property_size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int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m²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29–10,000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House 为土地面积，单元房为建筑面积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type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类别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10 类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住宅类型，86% 为 House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suburb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类别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636 类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典型区约 16 条成交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suburb_population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int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人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22–47,176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普查数据，区级（来源未注明普查年份）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suburb_median_income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int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澳元/年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14,248–97,500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普查数据，区级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suburb_sqkm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float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km²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0.089–87.154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区面积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suburb_lat / suburb_lng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float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度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−34.11 至 −33.16 / 150.55 至 151.57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区的中心点，不是房屋位置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suburb_elevation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int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m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0–405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区级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km_from_cbd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float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km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0.31–84.79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区中心到悉尼 CBD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date_sold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日期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2016-01-13 至 2022-01-01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拆为 year、month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cash_rate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float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% p.a.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0.1–2.0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成交日 RBA 现金利率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property_inflation_index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float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指数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150.9–220.1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季度价格指数；可能有发布滞后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price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sz w:val="18"/>
              </w:rPr>
              <w:t>int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澳元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272,500–17,000,000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标签，拟合 log(price)</w:t>
            </w:r>
          </w:p>
        </w:tc>
      </w:tr>
    </w:tbl>
    <w:p>
      <w:pPr>
        <w:spacing w:after="40"/>
      </w:pP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1.5  数据来源与清洗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数据文件 domain_properties.csv 来自 Kaggle 用户 alexlau203 发布的 Sydney House Prices 数据集：11,160 条 2016 年 1 月至 2022 年 1 月大悉尼地区的成交记录，从 Domain.com.au 抓取，并附上了区级普查统计和两个宏观序列。17 列，没有缺失值，所以不需要填补步骤；问题在于不合理的值而不是空值。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看数据时我注意到几点，后面的设计都建立在这几点上。价格严重右偏：中位数 1,388,000 澳元，最低 225,000，最高 60,000,000。原始价格的直方图是 100 万附近一个尖峰加一条很长的右尾，取对数后接近钟形，所以我决定在 log(price) 上训练，用相对误差评判模型。位置只精确到区：经纬度是区中心点，Mosman 的每一笔成交坐标都相同，637 个区里典型的一个区只有 16 条成交，不可能学出街道级的价格。市场在数据内部发生了变化：现金利率从 2016 年的 2.0% 降到 2020–2021 年的 0.1%，价格指数从 2020 年初约 166 涨到 2021 年底的 220.1。2021 年占了将近一半的数据（5,328 条），而且正是暴涨的一年。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7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7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19"/>
        </w:rPr>
        <w:t>图 1  原始价格（左）与 log 价格（右）的分布。取对数后分布接近对称，这是在 log(price) 上训练的理由。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清洗规则按任务范围定，不按统计上的“离群”定。任务是给单套住宅估价，所以 Vacant land、New land、Development Site、Rural、Acreage / Semi-Rural、Block of Units 这些类型被移除（235 条），它们不是一套有卧室数的住宅。卧室上限 10、浴室上限 8、车位上限 8，超过的是录入错误（比如一套 47 房 46 卫的“House”），共去掉 51 条。土地面积限定在 20–10,000 m²，去掉了 7 m² 的房子和 20,695 m² 的公寓等 10 条。价格不设上限：Woollahra 一套 1700 万澳元、3 房、325 m² 的成交是真实交易，用 log 目标而不是删除来处理它。最后保留 10,864 条，占 97.3%。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1.6  研究问题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测试期（2021 年下半年）的市场比训练数据里任何一个时期都贵。我要回答的问题是：用 2016–2020 年成交训练的模型能不能给 2021 年的市场估价？宏观输入（cash_rate、property_inflation_index）或者“按指数调整的目标”能不能减少这种市场变动带来的误差？这正是一个上线的 AVM 会遇到的失效方式，按时间划分数据让它可以被直接测量。</w:t>
      </w:r>
    </w:p>
    <w:p>
      <w:pPr>
        <w:pStyle w:val="Heading1"/>
        <w:spacing w:before="240" w:after="120"/>
      </w:pPr>
      <w:r>
        <w:rPr>
          <w:rFonts w:ascii="Times New Roman" w:hAnsi="Times New Roman" w:eastAsia="黑体"/>
          <w:b/>
          <w:color w:val="000000"/>
          <w:sz w:val="30"/>
        </w:rPr>
        <w:t>2  机器学习方法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2.1  系统概览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整个系统从文件到价格的流程如下。第 2 节清洗后的 10,864 条按成交日期切成训练、验证、测试三段。所有模型共用同一套特征，差别只在模型本身。最终模型的目标是 log(price) − log(指数)，也就是让模型只学房子相对于市场的价值，市场整体水平由已公布的价格指数从外部提供。预测时把指数加回来再取指数得到澳元价格。分位数 LightGBM 用 pinball 损失给出区间。最后 estimate_price() 把这些包成一个函数，输入六个字段和当期指数，输出估价、80% 区间和 q25 放贷参考值。所有模型和设计选择只在验证期上做，测试期每个模型只打分一次。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步骤</w:t>
            </w:r>
          </w:p>
        </w:tc>
        <w:tc>
          <w:tcPr>
            <w:tcW w:type="dxa" w:w="5386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内容</w:t>
            </w:r>
          </w:p>
        </w:tc>
        <w:tc>
          <w:tcPr>
            <w:tcW w:type="dxa" w:w="1984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notebook 位置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数据读取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sz w:val="19"/>
              </w:rPr>
              <w:t>domain_properties.csv，11,160 条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§1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清洗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sz w:val="19"/>
              </w:rPr>
              <w:t>解析日期；去掉非住宅和不合理行 → 10,864 条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§2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划分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sz w:val="19"/>
              </w:rPr>
              <w:t>训练 &lt; 2021 | 验证 2021 上半年 | 测试 ≥ 2021-07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§3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指标与基线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sz w:val="19"/>
              </w:rPr>
              <w:t>PPE10、MdAPE、中位偏差、RMSE；三个规则基线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§4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候选模型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sz w:val="19"/>
              </w:rPr>
              <w:t>Ridge（闭式解 + 手写 GD/Adam）、LightGBM、PyTorch MLP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§5–7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消融与最终模型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sz w:val="19"/>
              </w:rPr>
              <w:t>目标 = log(price) − log(指数)；LightGBM 15 叶、早停 620 棵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§8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损失 vs 目标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sz w:val="19"/>
              </w:rPr>
              <w:t>L2/L1/Huber/Fair 对比；分位数回归 τ = 0.1…0.9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§9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误差分析与结论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sz w:val="19"/>
              </w:rPr>
              <w:t>按价位、距离、类型切分；bootstrap 区间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§10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部署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宋体"/>
                <w:sz w:val="19"/>
              </w:rPr>
              <w:t>estimate_price()；交互式估价器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9"/>
              </w:rPr>
              <w:t>§11</w:t>
            </w:r>
          </w:p>
        </w:tc>
      </w:tr>
    </w:tbl>
    <w:p>
      <w:pPr>
        <w:spacing w:after="40"/>
      </w:pP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2.2  按时间划分数据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一个上线的估价模型是在已经发生的成交上训练、在之后被要求给价的，划分必须复制这个顺序。训练集是 2021-01-01 之前的成交（5,629 条，价格中位数 1.11 M），验证集是 2021 年 1 月到 6 月（1,328 条，中位数 1.73 M），测试集是 2021 年 7 月及之后（3,907 条，中位数 1.65 M）。2021 年是暴涨年，如果全放进测试集，模型选择时就见不到任何涨价后的数据，所以上半年做验证、下半年做测试。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我也试了随机划分，但只作为泄漏的对照，不用来训练任何模型。同样 5,629 条的随机训练集里有 47% 来自 2021 年及以后，中位数升到 1.38 M：它之所以更接近测试集，是因为把未来混进去了。第 4 节和第 8 节都量化了这个差别。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2.3  评价指标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对买家、卖家和银行来说，一套 100 万的房子估成 110 万是 10% 的偏差，不管它在 Mount Druitt 还是 Mosman；一套 1000 万的房子差 10 万只是噪声。误差必须相对于成交价来判断。记 y 为成交价，ŷ 为估价，APE = |ŷ − y| / 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指标</w:t>
            </w:r>
          </w:p>
        </w:tc>
        <w:tc>
          <w:tcPr>
            <w:tcW w:type="dxa" w:w="3515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定义</w:t>
            </w:r>
          </w:p>
        </w:tc>
        <w:tc>
          <w:tcPr>
            <w:tcW w:type="dxa" w:w="4082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作用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PPE10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9"/>
              </w:rPr>
              <w:t>APE ≤ 10% 的成交所占比例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9"/>
              </w:rPr>
              <w:t>主指标，“多大比例的估价在 10% 以内”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MdAPE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9"/>
              </w:rPr>
              <w:t>APE 的中位数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9"/>
              </w:rPr>
              <w:t>主指标，典型相对偏差，不受个别巨大误差影响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中位偏差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9"/>
              </w:rPr>
              <w:t>(ŷ − y)/y 的中位数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9"/>
              </w:rPr>
              <w:t>方向；负值表示系统性低估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RMSE (log)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9"/>
              </w:rPr>
              <w:t>log ŷ 与 log y 之差的均方根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9"/>
              </w:rPr>
              <w:t>训练损失最小化的量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RMSE (AUD)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9"/>
              </w:rPr>
              <w:t>美元误差的均方根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9"/>
              </w:rPr>
              <w:t>常见指标，只报告；被最贵的几笔成交主导，不用于选模型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训练损失（log RMSE）和业务指标（PPE10）不是同一个函数，第 2.9 节专门分析两者哪里不一致。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2.4  基线：不用模型能做到什么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“PPE10 = 40%”单独看没有意义，它必须打败一个人用同样的训练数据和一张表格能做到的结果。我做了三个只用训练集拟合的规则估价：全局中位数、区中位数（训练里没见过的区退回全局中位数）、区 × 类型中位数（逐级退回）。这三个也就是 1.1 节说的“传统做法”，它们的误差是需要学习模型的证据。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2.5  模型一：Ridge 回归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三个学习模型用同一套编码：数值列（房间数、区级统计、km_from_cbd、year、month、cash_rate、price index）在训练集上标准化；property_size 先取 log1p 再标准化，因为 29 到 10,000 m² 跨了三个数量级；type 和 suburb 做独热编码，训练里没出现的类别全为零。总共 616 列。year 作为数值而不是类别，这样线性模型可以把 2016–2020 的趋势延伸到 2021，这个延伸是帮忙还是坏事是第 5 节要测的。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假设空间是 f(x) = wᵀx + b，616 个权重。损失是 log 价格上的均方误差加 L2 惩罚：L(w, b) = (1/n) Σ (wᵀxᵢ + b − log yᵢ)² + α‖w‖²。log 上的平方误差在误差小的时候近似于平方相对误差，因为 log ŷ − log y = log(ŷ/y) ≈ (ŷ − y)/y，方向和 PPE10 一致。惩罚项的作用是收缩罕见区的指示变量：有 626 个区的指示列，有的区只有一条训练成交，不加惩罚就会把那个区拟合到单个价格上。α 是唯一的超参数，在验证集上选。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我没有只调库。令梯度为零得到闭式解 w = (XᵀX + αI)⁻¹Xᵀy（在中心化数据上），我用 numpy 直接算出来和 sklearn 的 Ridge 比，最大权重差 7.3 × 10⁻¹⁵，说明库做的就是这个公式。然后我又把同一个损失用迭代方式训练了一遍：手写梯度下降 w ← w − η∇L，步长取 1/L（最大曲率的倒数）；手写 Adam，维护梯度的一阶和二阶动量，每个坐标有自己的步长。结果是 Adam 在约 1,500 步后到达闭式解（差 &lt; 10⁻⁴），而梯度下降 2,000 步后还差得远（最大权重差 0.80）。原因是 XᵀX + αI 的条件数约 15,247：人口、收入列的曲率极大，只有一条成交的区指示列曲率约等于 α，一个全局步长要小到适应陡的方向，在平的方向上就几乎不动。这解释了为什么第 7 节的神经网络用 Adam，也解释了为什么树模型不受特征尺度影响。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060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6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19"/>
        </w:rPr>
        <w:t>图 2  同一个 Ridge 损失下，梯度下降和 Adam 的损失曲线，虚线是闭式解的损失。Adam 收敛到闭式解，GD 因病态条件数停在远处。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α 在 0.01 到 100 之间扫了七个值，验证集 PPE10 在 31.7% 到 34.8% 之间，α = 1 最好，就选它。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2.6  模型二：梯度提升树（LightGBM）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Ridge 给每个特征一个权重，多一间卧室在 Mosman 和 Mount Druitt 加同样的 log 价格，土地每 log m² 的价值到处一样。决策树把数据切成区域（比如“suburb 在某集合内且 property_size &gt; 600”）并在每个区域拟合一个常数，能表达这类交互而不需要有人把它们列出来。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假设空间是 f(x) = Σₖ ν tₖ(x)，K 棵每棵最多 num_leaves 个叶子的小回归树按学习率 ν 叠加。损失还是 log 价格上的平方误差，没有 L2 项，正则化来自树的大小、叶子最小样本数、学习率和早停。训练算法是梯度提升：从 log y 的均值出发，每一轮计算当前预测处损失的负梯度（平方误差下就是残差 rᵢ = log yᵢ − f(xᵢ)），拟合一棵小树，f ← f + ν t。每棵树是函数空间里的一步梯度下降。验证损失连续 100 轮不改善就停。数值列原样输入，type 和 suburb 作为 LightGBM 的原生类别特征，信息和 Ridge 完全一样。num_leaves 在 7、15、31、63 里扫，验证 PPE10 相差不到 2 个点，选 15，早停在 673 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094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9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19"/>
        </w:rPr>
        <w:t>图 3  LightGBM 每一轮的训练/验证损失和早停位置。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结果出乎意料：测试集 PPE10 只有 22.5%，中位偏差 −18.2%，比 Ridge 的 33.6% / +8.7% 差很多。我做了两个检查来找原因。第一个：把测试行的 year、cash_rate、price index 全部改成 2020 年底的值再预测，预测值的最大变化是 0.0000。树按训练中学到的阈值分裂，2021 年的每一行都落在每个分裂“≥ 183.1”“≥ 2020”的那一侧，和 2020 年底的成交同侧，所以树在训练范围之外是平的，它不能外推。第二个：把两个模型都在 2020 年 7 月之前训练、在 2020 年下半年打分（宏观值在训练范围内），LightGBM 43.7% / 12.0% 对 Ridge 37.1% / 14.5%，树赢得很明显。所以问题不在树，而在于要求一个范围外为常数的模型类去学时间趋势。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2.7  模型三：多层感知机（PyTorch）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Ridge 能外推但不能表达交互，树能表达交互但不能外推。ReLU 网络是分段线性函数，数据内部可以弯，数据外部继续线性延伸，是自然的第三种情况。结构是 616 → 128 → 64 → 1，87,297 个参数；损失还是 log 价格的平方误差，通过 Adam 的 weight_decay 加一点 L2；小批量 Adam（batch 256，lr 10⁻³），每个隐藏层后 dropout 0.1，早停：每个 epoch 算一次验证损失，保留验证损失最低时的权重，30 个 epoch 不改善就停。输出偏置初始化为 log 价格的均值，让一开始的预测就在合理范围。训练循环是自己写的：前向、算损失、反向传播、Adam 一步，和 2.5 节手写的 Adam 对应。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一次训练只是一个样本，所以我固定配置只换随机种子跑了 5 次。验证 PPE10 35.3 ± 0.9，测试 PPE10 33.7 ± 2.8，测试偏差 6.2 ± 4.4（从 +1.8% 到 +12.7%）。进入结果表的是验证 PPE10 最高的种子（seed 2），测试集不参与这个选择。最佳 epoch 都在 5–12 之间，之后验证损失回升，5,629 行数据上网络很快过拟合。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060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6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19"/>
        </w:rPr>
        <w:t>图 4  MLP（seed 2）的学习曲线，第 6 个 epoch 后验证损失开始上升。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2.8  消融实验与最终模型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第 5–7 节换模型、其它不动；第 8 节固定模型，每次只改一个设计决策，用同一个函数 run_ablation 训练 LightGBM（必要时也训练 Ridge）并在验证和测试上打分。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587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实验</w:t>
            </w:r>
          </w:p>
        </w:tc>
        <w:tc>
          <w:tcPr>
            <w:tcW w:type="dxa" w:w="3628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改动</w:t>
            </w:r>
          </w:p>
        </w:tc>
        <w:tc>
          <w:tcPr>
            <w:tcW w:type="dxa" w:w="3855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回答的问题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A 目标尺度</w:t>
            </w:r>
          </w:p>
        </w:tc>
        <w:tc>
          <w:tcPr>
            <w:tcW w:type="dxa" w:w="3628"/>
          </w:tcPr>
          <w:p>
            <w:r/>
            <w:r>
              <w:rPr>
                <w:rFonts w:ascii="Times New Roman" w:hAnsi="Times New Roman" w:eastAsia="宋体"/>
                <w:sz w:val="19"/>
              </w:rPr>
              <w:t>price 对 log(price)</w:t>
            </w:r>
          </w:p>
        </w:tc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sz w:val="19"/>
              </w:rPr>
              <w:t>log 目标真的更好，还是只是习惯？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B 趋势输入</w:t>
            </w:r>
          </w:p>
        </w:tc>
        <w:tc>
          <w:tcPr>
            <w:tcW w:type="dxa" w:w="3628"/>
          </w:tcPr>
          <w:p>
            <w:r/>
            <w:r>
              <w:rPr>
                <w:rFonts w:ascii="Times New Roman" w:hAnsi="Times New Roman" w:eastAsia="宋体"/>
                <w:sz w:val="19"/>
              </w:rPr>
              <w:t>去掉 cash_rate、price index；再去掉 year、month</w:t>
            </w:r>
          </w:p>
        </w:tc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sz w:val="19"/>
              </w:rPr>
              <w:t>模型对 2021 年涨价的知识从哪来？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C 指数调整目标</w:t>
            </w:r>
          </w:p>
        </w:tc>
        <w:tc>
          <w:tcPr>
            <w:tcW w:type="dxa" w:w="3628"/>
          </w:tcPr>
          <w:p>
            <w:r/>
            <w:r>
              <w:rPr>
                <w:rFonts w:ascii="Times New Roman" w:hAnsi="Times New Roman" w:eastAsia="宋体"/>
                <w:sz w:val="19"/>
              </w:rPr>
              <w:t>预测 log(price) − log(index)，再把指数加回</w:t>
            </w:r>
          </w:p>
        </w:tc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sz w:val="19"/>
              </w:rPr>
              <w:t>能不能把趋势从模型里拿出去，让树不必外推？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C′ 现实的指数</w:t>
            </w:r>
          </w:p>
        </w:tc>
        <w:tc>
          <w:tcPr>
            <w:tcW w:type="dxa" w:w="3628"/>
          </w:tcPr>
          <w:p>
            <w:r/>
            <w:r>
              <w:rPr>
                <w:rFonts w:ascii="Times New Roman" w:hAnsi="Times New Roman" w:eastAsia="宋体"/>
                <w:sz w:val="19"/>
              </w:rPr>
              <w:t>同 C，但指数用早一个季度的值</w:t>
            </w:r>
          </w:p>
        </w:tc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sz w:val="19"/>
              </w:rPr>
              <w:t>当季指数还没公布时，这个修正要付多少代价？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D 区名</w:t>
            </w:r>
          </w:p>
        </w:tc>
        <w:tc>
          <w:tcPr>
            <w:tcW w:type="dxa" w:w="3628"/>
          </w:tcPr>
          <w:p>
            <w:r/>
            <w:r>
              <w:rPr>
                <w:rFonts w:ascii="Times New Roman" w:hAnsi="Times New Roman" w:eastAsia="宋体"/>
                <w:sz w:val="19"/>
              </w:rPr>
              <w:t>去掉 suburb 类别特征</w:t>
            </w:r>
          </w:p>
        </w:tc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sz w:val="19"/>
              </w:rPr>
              <w:t>区名在区级数值特征之上还值多少？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E 划分方式</w:t>
            </w:r>
          </w:p>
        </w:tc>
        <w:tc>
          <w:tcPr>
            <w:tcW w:type="dxa" w:w="3628"/>
          </w:tcPr>
          <w:p>
            <w:r/>
            <w:r>
              <w:rPr>
                <w:rFonts w:ascii="Times New Roman" w:hAnsi="Times New Roman" w:eastAsia="宋体"/>
                <w:sz w:val="19"/>
              </w:rPr>
              <w:t>随机划分代替时间划分</w:t>
            </w:r>
          </w:p>
        </w:tc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sz w:val="19"/>
              </w:rPr>
              <w:t>泄漏会把主要数字虚高多少？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C 的想法是：价格指数 Iₜ 是全市场的水平，如果一套房子的价格是 y = Iₜ · g(x)，g 只取决于房子本身，那么 log y − log Iₜ = log g(x) 就没有趋势，每个训练年份看起来都一样。树拟合 g，已经公布的指数提供水平，模型不需要外推任何东西。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最终模型按验证 PPE10 选出：LightGBM，目标 log(price) − log(index)，输入是房屋数值特征加区级数值特征，type 作为类别特征，不用 suburb 类别，不用任何时间输入（实验 D 的配置）。重新训练后早停在 620 棵树。与它并列报告的还有 C′ 那一行：指数滞后一个季度时的成绩，这是实际部署时的真实水平。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2.9  训练损失与任务目标；分位数回归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任务要的是相对意义上的“接近”，行业的说法是“10% 以内”。预测和标签之间理想的比较是 0/1 量 1[|ŷ − y|/y ≤ 0.10]，取平均就是 PPE10。它在这个项目里用在验证阶段（选 α、num_leaves、MLP 种子、最终配置）和测试阶段，但不用于训练，有两个原因：它几乎处处梯度为零，差 11% 和差 60% 得同样的分，优化器没法往边界移动；它忽略超过 10% 之后误差的大小，而差 60% 的估价师显然比差 11% 的更糟。所以训练用 log 价格上的平方误差，它光滑、对预测值是凸的，小误差时近似平方相对误差，方向和 PPE10 一致但没有平坦区。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两者在哪里不一致，我做了测量。最终模型在测试集上平方 log 误差最大的 5% 成交贡献了 41.8% 的总损失，而这 5% 里没有一条在 10% 以内。我又用同一配置换了四种 LightGBM 损失（L2、L1、Huber、Fair），PPE10 在 37.3% 到 38.2% 之间，变化不到一个点；RMSE-log 最好的是 L2，PPE10 最好的是 Fair，排名不一致。损失是代理，代理上的小差别不会转移到目标上。这就是为什么这个 notebook 里所有模型选择都用 PPE10 和 MdAPE，从不用训练损失。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还有第二个目标：银行的代价是不对称的。高估一套房子意味着贷款超过了抵押物，而平方误差天生对称。分位数回归把平方误差换成 pinball 损失 ℓ_τ(y, q̂) = τ(y − q̂)（y ≥ q̂ 时）或 (1 − τ)(q̂ − y)（y &lt; q̂ 时），它的最小值点是给定 x 时 y 的 τ 分位数。我用同样的树在 τ = 0.1、0.25、0.5、0.75、0.9 上各训练一个模型，得到价格区间和一个刻意保守的估价。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2.10  部署函数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1.3 节用文字定义的部署接口在第 11 节变成了代码。estimate_price(num_bed, num_bath, num_parking, property_size, type, suburb, price_index) 先按 1.4 节的规格检查输入（47 间卧室会直接抛 ValueError），从一张静态的区级属性表（普查数字和坐标，不含价格）补上区级字段，调用最终模型和分位数模型，返回点估计、q10–q90 区间和 q25 放贷参考值。我用四套虚构房子和三笔真实的测试期成交检查了整条路径。11.3 节在这之上加了一个交互界面：选区、类型、房间数、面积和年份，界面调用同一个函数并画出 2016–2030 年每一年的估价。2016–2021 年用当年观测到的指数；2022 年以后没有指数，用一个可调的年增长率假设从 220.1 往外推，这部分用虚线画出并明确标注为情景假设而不是预测，因为第 8 节已经证明模型学不到市场水平。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0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_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19"/>
        </w:rPr>
        <w:t>图 5  交互式估价器：Parramatta 一套 3 房 House 在 2016–2030 年的估价路径（实线为观测指数，虚线为假设增长率下的情景），灰点为该区同类型的真实成交。</w:t>
      </w:r>
    </w:p>
    <w:p>
      <w:pPr>
        <w:pStyle w:val="Heading1"/>
        <w:spacing w:before="240" w:after="120"/>
      </w:pPr>
      <w:r>
        <w:rPr>
          <w:rFonts w:ascii="Times New Roman" w:hAnsi="Times New Roman" w:eastAsia="黑体"/>
          <w:b/>
          <w:color w:val="000000"/>
          <w:sz w:val="30"/>
        </w:rPr>
        <w:t>3  结果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3.1  主结果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测试期 3,907 笔成交，2021 年 7 月至 2022 年 1 月。每个模型都只在 2021 年之前的成交上训练，在 2021 年上半年上做配置。</w:t>
      </w:r>
    </w:p>
    <w:p>
      <w:pPr>
        <w:spacing w:after="60"/>
      </w:pPr>
      <w:r>
        <w:rPr>
          <w:rFonts w:ascii="Times New Roman" w:hAnsi="Times New Roman" w:eastAsia="黑体"/>
          <w:b/>
          <w:sz w:val="20"/>
        </w:rPr>
        <w:t>表 1  测试集结果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3061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模型</w:t>
            </w:r>
          </w:p>
        </w:tc>
        <w:tc>
          <w:tcPr>
            <w:tcW w:type="dxa" w:w="1077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PPE10 (%)</w:t>
            </w:r>
          </w:p>
        </w:tc>
        <w:tc>
          <w:tcPr>
            <w:tcW w:type="dxa" w:w="1077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MdAPE (%)</w:t>
            </w:r>
          </w:p>
        </w:tc>
        <w:tc>
          <w:tcPr>
            <w:tcW w:type="dxa" w:w="1304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中位偏差 (%)</w:t>
            </w:r>
          </w:p>
        </w:tc>
        <w:tc>
          <w:tcPr>
            <w:tcW w:type="dxa" w:w="1077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RMSE log</w:t>
            </w:r>
          </w:p>
        </w:tc>
        <w:tc>
          <w:tcPr>
            <w:tcW w:type="dxa" w:w="1474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RMSE AUD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9"/>
              </w:rPr>
              <w:t>基线：全局中位数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21.1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32.8</w:t>
            </w:r>
          </w:p>
        </w:tc>
        <w:tc>
          <w:tcPr>
            <w:tcW w:type="dxa" w:w="1304"/>
          </w:tcPr>
          <w:p>
            <w:r/>
            <w:r>
              <w:rPr>
                <w:rFonts w:ascii="Times New Roman" w:hAnsi="Times New Roman" w:eastAsia="宋体"/>
                <w:sz w:val="19"/>
              </w:rPr>
              <w:t>−32.5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0.632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1,438,877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9"/>
              </w:rPr>
              <w:t>基线：区中位数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10.7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34.7</w:t>
            </w:r>
          </w:p>
        </w:tc>
        <w:tc>
          <w:tcPr>
            <w:tcW w:type="dxa" w:w="1304"/>
          </w:tcPr>
          <w:p>
            <w:r/>
            <w:r>
              <w:rPr>
                <w:rFonts w:ascii="Times New Roman" w:hAnsi="Times New Roman" w:eastAsia="宋体"/>
                <w:sz w:val="19"/>
              </w:rPr>
              <w:t>−32.7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0.536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1,183,415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9"/>
              </w:rPr>
              <w:t>基线：区 × 类型中位数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12.3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33.0</w:t>
            </w:r>
          </w:p>
        </w:tc>
        <w:tc>
          <w:tcPr>
            <w:tcW w:type="dxa" w:w="1304"/>
          </w:tcPr>
          <w:p>
            <w:r/>
            <w:r>
              <w:rPr>
                <w:rFonts w:ascii="Times New Roman" w:hAnsi="Times New Roman" w:eastAsia="宋体"/>
                <w:sz w:val="19"/>
              </w:rPr>
              <w:t>−30.9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0.510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1,151,739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9"/>
              </w:rPr>
              <w:t>Ridge（log price）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33.6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15.9</w:t>
            </w:r>
          </w:p>
        </w:tc>
        <w:tc>
          <w:tcPr>
            <w:tcW w:type="dxa" w:w="1304"/>
          </w:tcPr>
          <w:p>
            <w:r/>
            <w:r>
              <w:rPr>
                <w:rFonts w:ascii="Times New Roman" w:hAnsi="Times New Roman" w:eastAsia="宋体"/>
                <w:sz w:val="19"/>
              </w:rPr>
              <w:t>+8.7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0.258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721,589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9"/>
              </w:rPr>
              <w:t>LightGBM（log price）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22.5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20.1</w:t>
            </w:r>
          </w:p>
        </w:tc>
        <w:tc>
          <w:tcPr>
            <w:tcW w:type="dxa" w:w="1304"/>
          </w:tcPr>
          <w:p>
            <w:r/>
            <w:r>
              <w:rPr>
                <w:rFonts w:ascii="Times New Roman" w:hAnsi="Times New Roman" w:eastAsia="宋体"/>
                <w:sz w:val="19"/>
              </w:rPr>
              <w:t>−18.2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0.320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849,930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9"/>
              </w:rPr>
              <w:t>MLP（log price，seed 2）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33.6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15.7</w:t>
            </w:r>
          </w:p>
        </w:tc>
        <w:tc>
          <w:tcPr>
            <w:tcW w:type="dxa" w:w="1304"/>
          </w:tcPr>
          <w:p>
            <w:r/>
            <w:r>
              <w:rPr>
                <w:rFonts w:ascii="Times New Roman" w:hAnsi="Times New Roman" w:eastAsia="宋体"/>
                <w:sz w:val="19"/>
              </w:rPr>
              <w:t>+7.6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0.249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729,901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9"/>
              </w:rPr>
              <w:t>最终：LightGBM，指数调整目标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37.9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13.4</w:t>
            </w:r>
          </w:p>
        </w:tc>
        <w:tc>
          <w:tcPr>
            <w:tcW w:type="dxa" w:w="1304"/>
          </w:tcPr>
          <w:p>
            <w:r/>
            <w:r>
              <w:rPr>
                <w:rFonts w:ascii="Times New Roman" w:hAnsi="Times New Roman" w:eastAsia="宋体"/>
                <w:sz w:val="19"/>
              </w:rPr>
              <w:t>−4.7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0.244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717,937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9"/>
              </w:rPr>
              <w:t>最终，指数滞后一季度（部署）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35.7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14.5</w:t>
            </w:r>
          </w:p>
        </w:tc>
        <w:tc>
          <w:tcPr>
            <w:tcW w:type="dxa" w:w="1304"/>
          </w:tcPr>
          <w:p>
            <w:r/>
            <w:r>
              <w:rPr>
                <w:rFonts w:ascii="Times New Roman" w:hAnsi="Times New Roman" w:eastAsia="宋体"/>
                <w:sz w:val="19"/>
              </w:rPr>
              <w:t>−7.9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9"/>
              </w:rPr>
              <w:t>0.258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743,714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三个规则基线都把 2021 年的市场低估了约 30%：它们只知道 2016–2020 年的价格。区中位数的 PPE10（10.7%）甚至低于全局中位数（21.1%），因为区中位数对错误的年份很精确，而 148 条测试成交所在的区在训练里根本没有出现。Ridge 把 30% 的低估消掉了，但变成了 +8.7% 的高估：year、cash_rate、price index 在 2021 年都在训练范围之外，线性模型把 2016–2020 的趋势直线延伸，上半年正好，下半年跑过头。LightGBM 在 log price 上反而更差（−18.2%），原因是 2.6 节说的不能外推。MLP 五个种子平均和 Ridge 同一水平。最终模型 37.9% / 13.4% / −4.7%，指数滞后一季度时 35.7% / 14.5% / −7.9%。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3.2  消融结果</w:t>
      </w:r>
    </w:p>
    <w:p>
      <w:pPr>
        <w:spacing w:after="60"/>
      </w:pPr>
      <w:r>
        <w:rPr>
          <w:rFonts w:ascii="Times New Roman" w:hAnsi="Times New Roman" w:eastAsia="黑体"/>
          <w:b/>
          <w:sz w:val="20"/>
        </w:rPr>
        <w:t>表 2  消融实验（PPE10、MdAPE、偏差均为 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2948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实验</w:t>
            </w:r>
          </w:p>
        </w:tc>
        <w:tc>
          <w:tcPr>
            <w:tcW w:type="dxa" w:w="1020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模型</w:t>
            </w:r>
          </w:p>
        </w:tc>
        <w:tc>
          <w:tcPr>
            <w:tcW w:type="dxa" w:w="1020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验证 PPE10</w:t>
            </w:r>
          </w:p>
        </w:tc>
        <w:tc>
          <w:tcPr>
            <w:tcW w:type="dxa" w:w="964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验证偏差</w:t>
            </w:r>
          </w:p>
        </w:tc>
        <w:tc>
          <w:tcPr>
            <w:tcW w:type="dxa" w:w="1020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测试 PPE10</w:t>
            </w:r>
          </w:p>
        </w:tc>
        <w:tc>
          <w:tcPr>
            <w:tcW w:type="dxa" w:w="1077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测试 MdAPE</w:t>
            </w:r>
          </w:p>
        </w:tc>
        <w:tc>
          <w:tcPr>
            <w:tcW w:type="dxa" w:w="1020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测试偏差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参照：log price，全部特征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LightGBM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33.4</w:t>
            </w:r>
          </w:p>
        </w:tc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−9.9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22.5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8"/>
              </w:rPr>
              <w:t>20.1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−18.2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A：原始价格目标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LightGBM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30.1</w:t>
            </w:r>
          </w:p>
        </w:tc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−6.5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24.0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8"/>
              </w:rPr>
              <w:t>19.9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−15.9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B1：无宏观特征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LightGBM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24.5</w:t>
            </w:r>
          </w:p>
        </w:tc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−17.3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19.4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8"/>
              </w:rPr>
              <w:t>22.3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−21.2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B2：无时间、无宏观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LightGBM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22.9</w:t>
            </w:r>
          </w:p>
        </w:tc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−18.6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12.2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8"/>
              </w:rPr>
              <w:t>27.3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−26.7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C：指数调整目标，无时间输入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LightGBM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37.3</w:t>
            </w:r>
          </w:p>
        </w:tc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−3.7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37.7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8"/>
              </w:rPr>
              <w:t>13.5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−4.6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C′：同 C，指数滞后一季度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LightGBM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32.3</w:t>
            </w:r>
          </w:p>
        </w:tc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−9.8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36.3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8"/>
              </w:rPr>
              <w:t>14.5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−6.9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D：C 去掉 suburb 类别（最终）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LightGBM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39.0</w:t>
            </w:r>
          </w:p>
        </w:tc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−3.9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37.9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8"/>
              </w:rPr>
              <w:t>13.4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−4.7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参照：log price，全部特征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Ridge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34.8</w:t>
            </w:r>
          </w:p>
        </w:tc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+1.7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33.6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8"/>
              </w:rPr>
              <w:t>15.9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+8.7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A：原始价格目标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Ridge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28.2</w:t>
            </w:r>
          </w:p>
        </w:tc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−0.4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30.7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8"/>
              </w:rPr>
              <w:t>17.8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+4.3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B1：无宏观特征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Ridge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24.7</w:t>
            </w:r>
          </w:p>
        </w:tc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−17.6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19.7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8"/>
              </w:rPr>
              <w:t>22.2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−20.9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C：指数调整目标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Ridge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33.4</w:t>
            </w:r>
          </w:p>
        </w:tc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−5.4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37.3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8"/>
              </w:rPr>
              <w:t>14.1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−4.0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D：参照去掉 suburb 独热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Ridge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30.9</w:t>
            </w:r>
          </w:p>
        </w:tc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+2.0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26.4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8"/>
              </w:rPr>
              <w:t>19.8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+11.2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E：C 模型，随机划分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LightGBM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42.3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sz w:val="18"/>
              </w:rPr>
              <w:t>12.1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+1.6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A：log 目标在验证集上对两个模型都更好（Ridge 34.8 对 28.2，LightGBM 33.4 对 30.1），原始澳元上的平方误差把精力花在贵的成交上。B：去掉两个宏观列，两个模型都掉到约 19–20% PPE10、偏差约 −21%；再去掉 year 和 month，偏差到 −27%，也就是完整的 2021 年涨幅。模型对市场涨价的全部知识都来自宏观列，树只能用到最后一个训练值，Ridge 则外推它。C：把趋势移进目标之后，LightGBM 从 22.5% 升到 37.7%，Ridge 也到 37.3%，两个模型相差不到半个点，说明起作用的是目标而不是模型类。C′：用早一个季度的指数，代价是 1–2 个 PPE10 点和 2–3 个点的低估，部署可行。D：去掉区名对 Ridge 是 7 个点的损失，对 LightGBM 没有损失（验证集反而最高，39.0%），因为经纬度、离 CBD 距离、收入已经把房子定位了，树可以在这些数值上切区域。这也顺带解决了 148 条未见区的问题。E：随机划分会把数字虚高约 5 个点（42.3% 对 37.7%），并把偏差完全藏起来。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3.3  结果的统计可靠性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一个测试集只给一个 PPE10。我把 3,907 条测试成交有放回地重采样 2,000 次，得到每个指标的 95% 区间，以及最终模型和最佳基线之差的区间。最终 LightGBM 在固定种子下是确定性的、没有 bagging，所以这里相关的不确定性是测试集的抽样方差，不是种子方差（种子方差在 MLP 那里用五个种子报告过）。</w:t>
      </w:r>
    </w:p>
    <w:p>
      <w:pPr>
        <w:spacing w:after="60"/>
      </w:pPr>
      <w:r>
        <w:rPr>
          <w:rFonts w:ascii="Times New Roman" w:hAnsi="Times New Roman" w:eastAsia="黑体"/>
          <w:b/>
          <w:sz w:val="20"/>
        </w:rPr>
        <w:t>表 3  bootstrap 置信区间（2,000 次重采样）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402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模型</w:t>
            </w:r>
          </w:p>
        </w:tc>
        <w:tc>
          <w:tcPr>
            <w:tcW w:type="dxa" w:w="3118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PPE10 95% 区间</w:t>
            </w:r>
          </w:p>
        </w:tc>
        <w:tc>
          <w:tcPr>
            <w:tcW w:type="dxa" w:w="2551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MdAPE 95% 区间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基线：全局中位数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sz w:val="19"/>
              </w:rPr>
              <w:t>[19.9, 22.4]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[31.5, 34.7]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最终模型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sz w:val="19"/>
              </w:rPr>
              <w:t>[36.4, 39.4]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[13.0, 13.9]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最终模型 − 基线（PPE10 差）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sz w:val="19"/>
              </w:rPr>
              <w:t>16.7 个点，95% 区间 [14.9, 18.6]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>
      <w:pPr>
        <w:spacing w:after="40"/>
      </w:pP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3.4  误差分析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聚合数字会掩盖结构，所以我把最终模型的测试误差切了四刀。</w:t>
      </w:r>
    </w:p>
    <w:p>
      <w:pPr>
        <w:spacing w:after="60"/>
      </w:pPr>
      <w:r>
        <w:rPr>
          <w:rFonts w:ascii="Times New Roman" w:hAnsi="Times New Roman" w:eastAsia="黑体"/>
          <w:b/>
          <w:sz w:val="20"/>
        </w:rPr>
        <w:t>表 4  最终模型在测试集上的分组误差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928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切分</w:t>
            </w:r>
          </w:p>
        </w:tc>
        <w:tc>
          <w:tcPr>
            <w:tcW w:type="dxa" w:w="2154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组</w:t>
            </w:r>
          </w:p>
        </w:tc>
        <w:tc>
          <w:tcPr>
            <w:tcW w:type="dxa" w:w="794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n</w:t>
            </w:r>
          </w:p>
        </w:tc>
        <w:tc>
          <w:tcPr>
            <w:tcW w:type="dxa" w:w="1247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PPE10 (%)</w:t>
            </w:r>
          </w:p>
        </w:tc>
        <w:tc>
          <w:tcPr>
            <w:tcW w:type="dxa" w:w="1247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MdAPE (%)</w:t>
            </w:r>
          </w:p>
        </w:tc>
        <w:tc>
          <w:tcPr>
            <w:tcW w:type="dxa" w:w="1587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中位偏差 (%)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价位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&lt; 0.8 M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23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26.1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14.9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+12.5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0.8–1.2 M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824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46.2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10.7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+2.0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1.2–2 M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1,736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41.2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12.5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−1.5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2–4 M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1,152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31.0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15.7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−11.9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&gt; 4 M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172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11.0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31.9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−31.7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离 CBD 距离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&lt; 10 km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709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36.0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14.3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−1.1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10–25 km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1,634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39.0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13.1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−2.8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25–45 km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855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43.0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11.9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−5.2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&gt; 45 km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709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30.9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15.7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−11.5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类型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Apartment / Unit / Flat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200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29.0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18.3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+6.6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House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3,449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38.1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13.3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−5.5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Townhouse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80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40.0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14.1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+0.7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其它住宅类型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178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41.6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11.8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+0.1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区是否在训练中出现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出现过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3,759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37.8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13.4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−5.3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8"/>
              </w:rPr>
              <w:t>未出现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148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39.9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13.9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+6.5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这是一个中端市场的模型。0.8–2 M 之间（约三分之二的测试成交）PPE10 有 41–46%，偏差在 ±2% 以内；4 M 以上塌到 11%，偏差 −32%，因为 2021 年下半年高端涨幅远超全市指数，一个指数带不动。远郊 45 km 以外低估约 12%。公寓高估 6.6% 而 House 低估 5.5%，指数由 House 主导，公寓 2021 年涨得没那么快，一个市场一个水平是这个模型最主要的结构性弱点。训练里没出现的 148 个区不再是弱点（39.9%），因为最终模型不用区名，只用坐标和普查数字。最大的五个相对误差都是 7–10 间卧室的“House”，模型按豪宅估、实际按普通住宅（或地块）成交，它们通过了 ≤ 10 间卧室的规则，一个“每平方米卧室数”的规则可以去掉它们。特征增益里离 CBD 距离占了三分之一（33.2%），然后是浴室数（12.5%）、土地面积（11.5%）和经度（10.8%）。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3.5  分位数校准与放贷视角</w:t>
      </w:r>
    </w:p>
    <w:p>
      <w:pPr>
        <w:spacing w:after="60"/>
      </w:pPr>
      <w:r>
        <w:rPr>
          <w:rFonts w:ascii="Times New Roman" w:hAnsi="Times New Roman" w:eastAsia="黑体"/>
          <w:b/>
          <w:sz w:val="20"/>
        </w:rPr>
        <w:t>表 5  分位数模型的校准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134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τ</w:t>
            </w:r>
          </w:p>
        </w:tc>
        <w:tc>
          <w:tcPr>
            <w:tcW w:type="dxa" w:w="4535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测试成交价低于该分位估计的比例</w:t>
            </w:r>
          </w:p>
        </w:tc>
        <w:tc>
          <w:tcPr>
            <w:tcW w:type="dxa" w:w="3402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pinball 损失（log）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0.10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0.109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0.0365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0.25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0.220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0.0660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0.50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0.379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0.0920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0.75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0.582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0.0813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0.90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0.809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0.0513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Times New Roman" w:hAnsi="Times New Roman" w:eastAsia="黑体"/>
          <w:b/>
          <w:sz w:val="20"/>
        </w:rPr>
        <w:t>表 6  银行视角：不同估价下的高估/低估比例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268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使用的估价</w:t>
            </w:r>
          </w:p>
        </w:tc>
        <w:tc>
          <w:tcPr>
            <w:tcW w:type="dxa" w:w="1701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高估比例 (%)</w:t>
            </w:r>
          </w:p>
        </w:tc>
        <w:tc>
          <w:tcPr>
            <w:tcW w:type="dxa" w:w="1701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高估 &gt; 10% (%)</w:t>
            </w:r>
          </w:p>
        </w:tc>
        <w:tc>
          <w:tcPr>
            <w:tcW w:type="dxa" w:w="1701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低估 &gt; 10% (%)</w:t>
            </w:r>
          </w:p>
        </w:tc>
        <w:tc>
          <w:tcPr>
            <w:tcW w:type="dxa" w:w="1701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PPE10 (%)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点估计（L2）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40.7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23.6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38.5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37.9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q50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37.9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21.6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40.6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37.8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q25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22.0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9.7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57.7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32.6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q10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10.9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4.1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74.4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21.5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[q10, q90] 区间只覆盖了 70% 的成交（名义 80%），q50 以下只有 37.9% 的成交：每个分位数都和点估计一样被向下平移了几个百分点，因为指数低估了 2021 年下半年的涨幅，分位数回归继承了这个偏差。校准在市场变动下是“水平”的问题，不是损失函数的问题。银行的取舍变得明确：用 q25 代替点估计，“高估超过 10%”的比例从 23.6% 降到 9.7%，代价是 PPE10 掉 5 个点和更多的低估。用哪个分位数是业务决定，模型把它摆到了明处。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060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6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19"/>
        </w:rPr>
        <w:t>图 6  测试成交按价格排序（每约 13 条取 1 条），q10–q90 区间、q50 与真实成交价。</w:t>
      </w:r>
    </w:p>
    <w:p>
      <w:pPr>
        <w:pStyle w:val="Heading1"/>
        <w:spacing w:before="240" w:after="120"/>
      </w:pPr>
      <w:r>
        <w:rPr>
          <w:rFonts w:ascii="Times New Roman" w:hAnsi="Times New Roman" w:eastAsia="黑体"/>
          <w:b/>
          <w:color w:val="000000"/>
          <w:sz w:val="30"/>
        </w:rPr>
        <w:t>4  讨论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4.1  对研究问题的回答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用 2016–2020 年成交训练的模型，如果市场水平必须由模型自己从内部学出来，就不能给 2021 年的市场估价：树在最后一个训练值处保持平坦（−18%），线性模型和神经网络把趋势推得太远（+8% 到 +9%）。如果水平由已公布的价格指数从外部提供，模型只负责房子相对于市场的价值，那就可以：测试集上约 38% 的成交在 10% 以内，中位误差约 13%，偏差约 −5%，而最佳规则基线是 21% / 33% / −32%，差距 16.7 个点，95% 区间 [14.9, 18.6]。指数滞后一个季度（部署时的真实情况）时是 36% / 14.5% / −8%。主要误差不是模型不会给房子估值，而是市场水平。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4.2  意义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对实际应用有三点。第一，在市场变动时最先坏掉的是偏差而不是精度，notebook 里每一种失效方式（基线、树、Ridge、分位数）都先表现为偏差，所以生产环境应该按月监控中位偏差，新一期指数一公布就更新调整。第二，模型选择必须在验证指标（PPE10、MdAPE）上做，而不是训练损失上：换四种损失 PPE10 变化不到一个点，且按损失排名和按目标排名不一致。第三，随机划分会把主要数字虚高 5 个点并完全隐藏偏差，对任何有时间维度的数据，这个检查都应该做。对银行来说，分位数估价给出了一个可以明说的风险取舍。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我原本预期 LightGBM 会直接胜出，结果它在 2021 年测试集上输给了线性模型，这是整个项目最有价值的发现。它不是编码错误——0.0000 的那个检查证明了这一点——而是模型类的性质。修正不是换更强的模型，而是改变目标的定义。Ridge 在同样的目标下也到了 37%，两个模型相差不到半个点。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4.3  局限</w:t>
      </w:r>
    </w:p>
    <w:p>
      <w:pPr>
        <w:pStyle w:val="ListNumber"/>
        <w:spacing w:after="60"/>
      </w:pPr>
      <w:r>
        <w:rPr>
          <w:rFonts w:ascii="Times New Roman" w:hAnsi="Times New Roman" w:eastAsia="宋体"/>
          <w:sz w:val="22"/>
        </w:rPr>
        <w:t>一个城市一个指数。调整用的是单一全市场序列，误差分析显示高端（&gt; 4 M）、远郊和公寓在 2021 年各自的走势都不同于这个序列。分段指数或按分段学习的时间效应是第一个应该做的结构性改动。</w:t>
      </w:r>
    </w:p>
    <w:p>
      <w:pPr>
        <w:pStyle w:val="ListNumber"/>
        <w:spacing w:after="60"/>
      </w:pPr>
      <w:r>
        <w:rPr>
          <w:rFonts w:ascii="Times New Roman" w:hAnsi="Times New Roman" w:eastAsia="宋体"/>
          <w:sz w:val="22"/>
        </w:rPr>
        <w:t>位置只到区级。坐标是区中心点，同一个区里一套临主路和一套临水的房子在模型看来是同一个点。</w:t>
      </w:r>
    </w:p>
    <w:p>
      <w:pPr>
        <w:pStyle w:val="ListNumber"/>
        <w:spacing w:after="60"/>
      </w:pPr>
      <w:r>
        <w:rPr>
          <w:rFonts w:ascii="Times New Roman" w:hAnsi="Times New Roman" w:eastAsia="宋体"/>
          <w:sz w:val="22"/>
        </w:rPr>
        <w:t>只测了上涨的市场。数据是 2016–2022 年，测试的是一次上涨；指数调整在下跌市场（2022 年以后）里是否成立没有测过，偏差的符号可能翻转。</w:t>
      </w:r>
    </w:p>
    <w:p>
      <w:pPr>
        <w:pStyle w:val="ListNumber"/>
        <w:spacing w:after="60"/>
      </w:pPr>
      <w:r>
        <w:rPr>
          <w:rFonts w:ascii="Times New Roman" w:hAnsi="Times New Roman" w:eastAsia="宋体"/>
          <w:sz w:val="22"/>
        </w:rPr>
        <w:t>指数的来源没有核实。property_inflation_index 是哪个机构发布、覆盖哪些住宅类型，我没有查到。滞后指数的实验覆盖了发布时间的风险，没有覆盖定义的风险。</w:t>
      </w:r>
    </w:p>
    <w:p>
      <w:pPr>
        <w:pStyle w:val="ListNumber"/>
        <w:spacing w:after="60"/>
      </w:pPr>
      <w:r>
        <w:rPr>
          <w:rFonts w:ascii="Times New Roman" w:hAnsi="Times New Roman" w:eastAsia="宋体"/>
          <w:sz w:val="22"/>
        </w:rPr>
        <w:t>高端数据质量。最大的误差来自通过了清洗的不合理卧室数；清洗阈值是我看数据定的，没有已发布的标准可引用。</w:t>
      </w:r>
    </w:p>
    <w:p>
      <w:pPr>
        <w:pStyle w:val="ListNumber"/>
        <w:spacing w:after="60"/>
      </w:pPr>
      <w:r>
        <w:rPr>
          <w:rFonts w:ascii="Times New Roman" w:hAnsi="Times New Roman" w:eastAsia="宋体"/>
          <w:sz w:val="22"/>
        </w:rPr>
        <w:t>没有重复成交的控制。同一套房子如果卖了两次，可能同时出现在训练和测试里，数据里没有房屋标识可以核对。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4.4  改进方向（按预期价值排序）</w:t>
      </w:r>
    </w:p>
    <w:p>
      <w:pPr>
        <w:pStyle w:val="ListNumber"/>
        <w:spacing w:after="60"/>
      </w:pPr>
      <w:r>
        <w:rPr>
          <w:rFonts w:ascii="Times New Roman" w:hAnsi="Times New Roman" w:eastAsia="宋体"/>
          <w:sz w:val="22"/>
        </w:rPr>
        <w:t>用分段水平（House / 单元房、价位段、距离环）代替单一指数，从最近成交里估计并每月更新。</w:t>
      </w:r>
    </w:p>
    <w:p>
      <w:pPr>
        <w:pStyle w:val="ListNumber"/>
        <w:spacing w:after="60"/>
      </w:pPr>
      <w:r>
        <w:rPr>
          <w:rFonts w:ascii="Times New Roman" w:hAnsi="Times New Roman" w:eastAsia="宋体"/>
          <w:sz w:val="22"/>
        </w:rPr>
        <w:t>联合拟合各分位数（单调约束或单一多输出模型）以消除分位数交叉，并在使用前用最近一个季度重新校准。</w:t>
      </w:r>
    </w:p>
    <w:p>
      <w:pPr>
        <w:pStyle w:val="ListNumber"/>
        <w:spacing w:after="60"/>
      </w:pPr>
      <w:r>
        <w:rPr>
          <w:rFonts w:ascii="Times New Roman" w:hAnsi="Times New Roman" w:eastAsia="宋体"/>
          <w:sz w:val="22"/>
        </w:rPr>
        <w:t>加入重复成交检测和“卧室数 / 面积”清洗规则。</w:t>
      </w:r>
    </w:p>
    <w:p>
      <w:pPr>
        <w:pStyle w:val="ListNumber"/>
        <w:spacing w:after="60"/>
      </w:pPr>
      <w:r>
        <w:rPr>
          <w:rFonts w:ascii="Times New Roman" w:hAnsi="Times New Roman" w:eastAsia="宋体"/>
          <w:sz w:val="22"/>
        </w:rPr>
        <w:t>等 2022 年以后的数据可用时，在下跌期上重测整条流程。</w:t>
      </w:r>
    </w:p>
    <w:p>
      <w:pPr>
        <w:pStyle w:val="Heading1"/>
        <w:spacing w:before="240" w:after="120"/>
      </w:pPr>
      <w:r>
        <w:rPr>
          <w:rFonts w:ascii="Times New Roman" w:hAnsi="Times New Roman" w:eastAsia="黑体"/>
          <w:b/>
          <w:color w:val="000000"/>
          <w:sz w:val="30"/>
        </w:rPr>
        <w:t>5  实现日志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这部分整理自仓库里的 journal/implementation_log.md，按时间顺序记录做了什么、哪里出了问题、怎么验证、AI 工具用在哪里以及我还没弄懂的地方。notebook 的初稿由 Cursor 协助起草，任务定义、清洗规则和所有解释由我负责，也是我在答辩时要能讲清的部分。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5.1  开发过程与遇到的困难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7"/>
              </w:rPr>
              <w:t>阶段</w:t>
            </w:r>
          </w:p>
        </w:tc>
        <w:tc>
          <w:tcPr>
            <w:tcW w:type="dxa" w:w="3175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7"/>
              </w:rPr>
              <w:t>做了什么</w:t>
            </w:r>
          </w:p>
        </w:tc>
        <w:tc>
          <w:tcPr>
            <w:tcW w:type="dxa" w:w="4422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7"/>
              </w:rPr>
              <w:t>遇到的问题与处理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选题与看数据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选 Option 2，任务定为单套住宅估价；核对文件：11,160 行、17 列、无缺失、637 个区、16 种类型。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要确认这不是规格里禁止的“玩具数据集”。它是抓取的市场数据，保留。决定在 log(price) 上训练，因为价格中位数 1.39 M、最大 60 M。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发布到 Colab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建公开仓库，DATA_URL 指向仓库里的 CSV 原始地址。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第一次 git push 被拒：Mac 钥匙串里存的是另一个 GitHub 账号。为正确账号创建 personal access token 后成功。Colab Run all 无报错。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任务定义与清洗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写训练/部署接口；去掉非住宅和不可能的行，11,160 → 10,864。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1700 万的 Woollahra 成交要不要当离群值删掉？看了极端行：47 房 46 卫、7 m² 的房子是错误，Woollahra 那套 3 房 325 m² 是真实成交，保留，靠 log 目标处理。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时间划分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训练 &lt; 2021（5,629）、验证 2021 上半年（1,328）、测试 ≥ 2021-07（3,907）。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为什么不用 train_test_split？同规模随机训练集 47% 来自 2021 年及之后，中位数 1.38 M，而时间划分训练集 1.11 M。随机划分只留作泄漏对照。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按评分表检查 0–3 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对照 A 项的 OK / Clear 两级。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2.1 节只列了列名没有类型、单位、范围，只到 OK 级。加了从数据框生成的规格表（2.3 节），补了 AVM 背景和研究问题。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指标与基线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metrics()、record()、三个规则基线。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区中位数比全局中位数差（10.7% 对 21.1%），像是 bug。用手造样本验证了 metrics()（+5%、−20%、0% → PPE10 66.7、MdAPE 5.0），再看偏差：三个规则都低估 31–33%。不是 bug，是市场变动。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Ridge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616 列编码；闭式解与 sklearn 对比。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FunctionTransformer(np.log1p) 报 get_feature_names_out 错误，加 feature_names_out="one-to-one" 解决。闭式解与库差 7e-15。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手写 GD / Adam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在同一 Ridge 损失上迭代训练。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GD 用最大稳定步长 3,000 步后仍远离最小值，起初以为梯度写错。核对梯度公式（令零得同一方程），算特征值：条件数约 15,000，一个步长服务不了所有方向。Adam 1,500 步收敛到闭式解。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LightGBM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同样信息、原生类别特征、早停。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比 Ridge 差 11 个 PPE10 点。把测试行的宏观值改成 2020 年底：预测变化 0.0000，树不能外推。在范围内（2020 下半年）重测：树 43.7% 对 Ridge 37.1%。这是项目的核心发现，直接导出第 8 节。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MLP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616→128→64→1，五个种子。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第一轮扫参时验证上相差 1 个点的配置在测试上差了 10 个点。固定配置只换种子：测试 PPE10 33.7 ± 2.8，偏差 6.2 ± 4.4。报告均值 ± 标准差，带验证最优的种子进结果表。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消融与最终模型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run_ablation 一个函数跑 A–E。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修正来自模型还是目标？C 让 LightGBM 从 22.5% 到 37.7%，Ridge 到 37.3%，起作用的是目标。指数是否是成交日合法输入？C′ 用早 91 天的指数（测试期比值 1.036），代价 1–2 个点。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损失 vs 目标、分位数、误差分析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四种损失对比；τ = 0.1–0.9 的 pinball；四刀切分。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损失与目标的不匹配是真的还是纸上谈兵？最差 5% 的成交占 41.8% 的损失且无一在 10% 内；换损失 PPE10 变化不到一个点。分位数区间覆盖 70%（名义 80%）。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部署函数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estimate_price()，输入校验，四套虚构房子加三笔真实成交。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规格说了有部署接口，但 notebook 里没有能对一套房调用的东西；第 9 节的分位数模型也没保存。补存 quantile_models，验证 47 间卧室被拒。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按规格全面复查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逐项对照提交规则和 A/B/C 三项。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三处不足：11 节一句“区级表建在训练集上”与代码不符（改文字，区级表是静态普查数据不涉及价格）；缺系统概览（补一格）；最终模型没有不确定度（加 bootstrap）。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7"/>
              </w:rPr>
              <w:t>交互式估价器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7"/>
              </w:rPr>
              <w:t>ipywidgets 界面，年份 2016–2030。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7"/>
              </w:rPr>
              <w:t>“第 X 年值多少”需要第 X 年的市场水平，而模型学不到它。2016–2021 用观测指数，之后按可调增长率外推，明确标为情景假设并用虚线画出。</w:t>
            </w:r>
          </w:p>
        </w:tc>
      </w:tr>
    </w:tbl>
    <w:p>
      <w:pPr>
        <w:spacing w:after="40"/>
      </w:pP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5.2  AI 工具的使用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我用 Cursor（AI 编程助手）起草了大部分 notebook 代码和文字初稿，也用它对照评分表做逐项检查。下表记录 AI 产出了什么、我怎么核对、改了什么。所有印在报告里的数字都是我运行 notebook 得到的输出，不是 AI 给的数。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位置</w:t>
            </w:r>
          </w:p>
        </w:tc>
        <w:tc>
          <w:tcPr>
            <w:tcW w:type="dxa" w:w="2948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AI 产出</w:t>
            </w:r>
          </w:p>
        </w:tc>
        <w:tc>
          <w:tcPr>
            <w:tcW w:type="dxa" w:w="4649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8"/>
              </w:rPr>
              <w:t>我如何核对 / 改了什么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第 0–1 节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环境设置、带本地回退的下载、汇总表、直方图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Colab Run all 无报错；年份计数和价格汇总与直接读 CSV 一致。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第 1 节初稿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一个没有用到的变量 by_half_year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删除。它被计算但从未使用。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第 2 节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clean() 和训练/部署表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本地运行，移除计数 235、22、1、28、10。保留 1700 万那套房，因为卧室数和面积合理。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第 4 节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指标与基线代码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手造样本验证 metrics()；区中位数反常的结果是我自己推理后才接受的。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第 5 节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特征管道、Ridge、α 扫描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读 traceback 自己修了 feature_names_out 的错误；用闭式解验证求解器（7e-15）。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第 5.2b、7 节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GD/Adam 循环、MLP 训练循环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核对 GD 梯度公式与闭式解一致；确认早停保留的是最优权重而不是最后一轮；收敛数字和条件数解释来自我运行的结果。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第 6、8 节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LightGBM、消融框架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两个诊断检查（宏观值替换、范围内重测）由我运行和解读；消融表每一行读过，反常的行（D 对 LightGBM、Ridge 在 C 下恢复）检查了两遍。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第 9–11 节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分位数、误差分析、部署函数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校准表（低于 q_τ 的比例应接近 τ）和银行表逐行读过；检查了输入校验分支和防止分位数交叉的排序。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评分表复查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逐项对照与补充内容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区级表那一处我判断是文字错误而不是泄漏错误，选择改文字不改代码。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日志与 1.3 节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8"/>
              </w:rPr>
              <w:t>观察要点和日志条目初稿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1.3 节改成第一人称，每一条都对应一个打印出来的数字。</w:t>
            </w:r>
          </w:p>
        </w:tc>
      </w:tr>
    </w:tbl>
    <w:p>
      <w:pPr>
        <w:spacing w:after="40"/>
      </w:pP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color w:val="000000"/>
          <w:sz w:val="26"/>
        </w:rPr>
        <w:t>5.3  知识缺口</w:t>
      </w:r>
    </w:p>
    <w:p>
      <w:pPr>
        <w:ind w:firstLine="420"/>
      </w:pPr>
      <w:r>
        <w:rPr>
          <w:rFonts w:ascii="Times New Roman" w:hAnsi="Times New Roman" w:eastAsia="宋体"/>
          <w:i w:val="0"/>
          <w:sz w:val="22"/>
        </w:rPr>
        <w:t>下面是我用到了、能说明为什么需要、也检查过它按预期工作，但还没有完全理解的部分。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928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7"/>
              </w:rPr>
              <w:t>组件</w:t>
            </w:r>
          </w:p>
        </w:tc>
        <w:tc>
          <w:tcPr>
            <w:tcW w:type="dxa" w:w="2154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7"/>
              </w:rPr>
              <w:t>为什么需要</w:t>
            </w:r>
          </w:p>
        </w:tc>
        <w:tc>
          <w:tcPr>
            <w:tcW w:type="dxa" w:w="2381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7"/>
              </w:rPr>
              <w:t>我怎么检查的</w:t>
            </w:r>
          </w:p>
        </w:tc>
        <w:tc>
          <w:tcPr>
            <w:tcW w:type="dxa" w:w="2608"/>
            <w:shd w:val="clear" w:color="auto" w:fill="E7E6E6"/>
          </w:tcPr>
          <w:p>
            <w:r/>
            <w:r>
              <w:rPr>
                <w:rFonts w:ascii="Times New Roman" w:hAnsi="Times New Roman" w:eastAsia="黑体"/>
                <w:b/>
                <w:sz w:val="17"/>
              </w:rPr>
              <w:t>还不理解的地方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7"/>
              </w:rPr>
              <w:t>pd.to_datetime(format="%d/%m/%y")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7"/>
              </w:rPr>
              <w:t>日期是日/月/年格式，解析错会把成交放进错误的年份，破坏时间划分。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  <w:t>打印出的范围 2016-01-13 至 2022-01-01 与文件首尾行一致。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7"/>
              </w:rPr>
              <w:t>没有试过不带 format 的调用会错成什么样。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7"/>
              </w:rPr>
              <w:t>property_inflation_index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7"/>
              </w:rPr>
              <w:t>让模型跟上 2020–2021 的涨价。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  <w:t>只确认了它按年变化，以及滞后一季度的代价。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7"/>
              </w:rPr>
              <w:t>不知道每期是什么时候发布的，也不知道是哪家机构的哪种口径的指数。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7"/>
              </w:rPr>
              <w:t>土地面积上限 10,000 m²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7"/>
              </w:rPr>
              <w:t>去掉 7 m² 的房子和 20,695 m² 的公寓。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  <w:t>极端行可见并被规则移除。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7"/>
              </w:rPr>
              <w:t>没有外部依据支持 10,000 而不是 5,000。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7"/>
              </w:rPr>
              <w:t>PPE10 的 10% 阈值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7"/>
              </w:rPr>
              <w:t>Zillow 和 IAAO 材料用它。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7"/>
              </w:rPr>
              <w:t>没查过澳大利亚银行实际接受的容差。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7"/>
              </w:rPr>
              <w:t>Adam 的偏差修正项 (1 − βᵗ)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7"/>
              </w:rPr>
              <w:t>抵消 m、v 零初始化的影响。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  <w:t>去掉后收敛慢了，加上后与闭式解一致。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7"/>
              </w:rPr>
              <w:t>没有推导过期望意义上为什么需要它。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7"/>
              </w:rPr>
              <w:t>LightGBM 的类别特征处理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7"/>
              </w:rPr>
              <w:t>让分裂直接对区分组而不是 626 列独热。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  <w:t>结果与独热 Ridge 的信息量一致。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7"/>
              </w:rPr>
              <w:t>只知道“它按梯度统计量给类别排序再找分组”，没读过具体算法。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7"/>
              </w:rPr>
              <w:t>MLP 测试方差是验证方差的三倍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7"/>
              </w:rPr>
              <w:t>决定要不要报多种子。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  <w:t>五个种子的实测数字。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7"/>
              </w:rPr>
              <w:t>猜测是外推方向由验证损失几乎约束不到的权重决定，没有验证。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7"/>
              </w:rPr>
              <w:t>pinball 损失的最小值是 τ 分位数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7"/>
              </w:rPr>
              <w:t>分位数回归的理论基础。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  <w:t>经验上成立：q10 以下有 10.9% 的成交。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7"/>
              </w:rPr>
              <w:t>没有自己证明过；也不知道 LightGBM 的 quantile 目标在样本很少的叶子上怎么处理。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Times New Roman" w:hAnsi="Times New Roman" w:eastAsia="黑体"/>
          <w:b/>
          <w:color w:val="000000"/>
          <w:sz w:val="30"/>
        </w:rPr>
        <w:t>参考文献</w:t>
      </w:r>
    </w:p>
    <w:p>
      <w:pPr>
        <w:spacing w:after="60"/>
      </w:pPr>
      <w:r>
        <w:rPr>
          <w:rFonts w:ascii="Times New Roman" w:hAnsi="Times New Roman" w:eastAsia="宋体"/>
          <w:sz w:val="20"/>
        </w:rPr>
        <w:t>[1] alexlau203. Sydney House Prices [数据集]. Kaggle. https://www.kaggle.com/datasets/alexlau203/sydney-house-prices</w:t>
      </w:r>
    </w:p>
    <w:p>
      <w:pPr>
        <w:spacing w:after="60"/>
      </w:pPr>
      <w:r>
        <w:rPr>
          <w:rFonts w:ascii="Times New Roman" w:hAnsi="Times New Roman" w:eastAsia="宋体"/>
          <w:sz w:val="20"/>
        </w:rPr>
        <w:t>[2] International Association of Assessing Officers (IAAO). Standard on Automated Valuation Models (AVMs). 2018.</w:t>
      </w:r>
    </w:p>
    <w:p>
      <w:pPr>
        <w:spacing w:after="60"/>
      </w:pPr>
      <w:r>
        <w:rPr>
          <w:rFonts w:ascii="Times New Roman" w:hAnsi="Times New Roman" w:eastAsia="宋体"/>
          <w:sz w:val="20"/>
        </w:rPr>
        <w:t>[3] Zillow. Zestimate Accuracy. https://www.zillow.com/z/zestimate/ （“within 10% of sale price” 的报告方式）</w:t>
      </w:r>
    </w:p>
    <w:p>
      <w:pPr>
        <w:spacing w:after="60"/>
      </w:pPr>
      <w:r>
        <w:rPr>
          <w:rFonts w:ascii="Times New Roman" w:hAnsi="Times New Roman" w:eastAsia="宋体"/>
          <w:sz w:val="20"/>
        </w:rPr>
        <w:t>[4] Ke, G. et al. LightGBM: A Highly Efficient Gradient Boosting Decision Tree. NeurIPS 2017.</w:t>
      </w:r>
    </w:p>
    <w:p>
      <w:pPr>
        <w:spacing w:after="60"/>
      </w:pPr>
      <w:r>
        <w:rPr>
          <w:rFonts w:ascii="Times New Roman" w:hAnsi="Times New Roman" w:eastAsia="宋体"/>
          <w:sz w:val="20"/>
        </w:rPr>
        <w:t>[5] Friedman, J. H. Greedy Function Approximation: A Gradient Boosting Machine. Annals of Statistics, 29(5), 2001.</w:t>
      </w:r>
    </w:p>
    <w:p>
      <w:pPr>
        <w:spacing w:after="60"/>
      </w:pPr>
      <w:r>
        <w:rPr>
          <w:rFonts w:ascii="Times New Roman" w:hAnsi="Times New Roman" w:eastAsia="宋体"/>
          <w:sz w:val="20"/>
        </w:rPr>
        <w:t>[6] Kingma, D. P. &amp; Ba, J. Adam: A Method for Stochastic Optimization. ICLR 2015.</w:t>
      </w:r>
    </w:p>
    <w:p>
      <w:pPr>
        <w:spacing w:after="60"/>
      </w:pPr>
      <w:r>
        <w:rPr>
          <w:rFonts w:ascii="Times New Roman" w:hAnsi="Times New Roman" w:eastAsia="宋体"/>
          <w:sz w:val="20"/>
        </w:rPr>
        <w:t>[7] Koenker, R. &amp; Bassett, G. Regression Quantiles. Econometrica, 46(1), 1978.</w:t>
      </w:r>
    </w:p>
    <w:p>
      <w:pPr>
        <w:spacing w:after="60"/>
      </w:pPr>
      <w:r>
        <w:rPr>
          <w:rFonts w:ascii="Times New Roman" w:hAnsi="Times New Roman" w:eastAsia="宋体"/>
          <w:sz w:val="20"/>
        </w:rPr>
        <w:t>[8] Hoerl, A. E. &amp; Kennard, R. W. Ridge Regression: Biased Estimation for Nonorthogonal Problems. Technometrics, 12(1), 1970.</w:t>
      </w:r>
    </w:p>
    <w:p>
      <w:pPr>
        <w:spacing w:after="60"/>
      </w:pPr>
      <w:r>
        <w:rPr>
          <w:rFonts w:ascii="Times New Roman" w:hAnsi="Times New Roman" w:eastAsia="宋体"/>
          <w:sz w:val="20"/>
        </w:rPr>
        <w:t>[9] Pedregosa, F. et al. Scikit-learn: Machine Learning in Python. JMLR 12, 2011.</w:t>
      </w:r>
    </w:p>
    <w:p>
      <w:pPr>
        <w:spacing w:after="60"/>
      </w:pPr>
      <w:r>
        <w:rPr>
          <w:rFonts w:ascii="Times New Roman" w:hAnsi="Times New Roman" w:eastAsia="宋体"/>
          <w:sz w:val="20"/>
        </w:rPr>
        <w:t>[10] Paszke, A. et al. PyTorch: An Imperative Style, High-Performance Deep Learning Library. NeurIPS 2019.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