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Planteamiento del Problema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sistema se define como una red de elementos coordinados e interconectados que persiguen un fin común. En el entorno informático, estos sistemas son clave para automatizar tareas, reducir la carga operativa y garantizar una gestión de datos eficiente. Como lo afirma </w:t>
      </w:r>
      <w:proofErr w:type="spellStart"/>
      <w:r w:rsidRPr="0072650F">
        <w:rPr>
          <w:rFonts w:ascii="Arial" w:eastAsia="Times New Roman" w:hAnsi="Arial" w:cs="Arial"/>
          <w:color w:val="000000"/>
          <w:sz w:val="24"/>
          <w:szCs w:val="24"/>
          <w:lang w:eastAsia="es-ES"/>
        </w:rPr>
        <w:t>Pressman</w:t>
      </w:r>
      <w:proofErr w:type="spellEnd"/>
      <w:r w:rsidRPr="0072650F">
        <w:rPr>
          <w:rFonts w:ascii="Arial" w:eastAsia="Times New Roman" w:hAnsi="Arial" w:cs="Arial"/>
          <w:color w:val="000000"/>
          <w:sz w:val="24"/>
          <w:szCs w:val="24"/>
          <w:lang w:eastAsia="es-ES"/>
        </w:rPr>
        <w:t xml:space="preserve">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Un sistema de gestión es, por lo tanto, una aplicación informática concebida para planificar, organizar y controlar los procesos internos de una entidad, buscando incrementar su eficiencia y calidad operativa. En el contexto educativo, esta herramienta se vuelve crucial, ya que facilita la centralización de la información, aligera la labor administrativa y apoya la toma de decisiones al ofrecer un acceso rápido y fiable a los datos. </w:t>
      </w:r>
      <w:proofErr w:type="spellStart"/>
      <w:r w:rsidRPr="0072650F">
        <w:rPr>
          <w:rFonts w:ascii="Arial" w:eastAsia="Times New Roman" w:hAnsi="Arial" w:cs="Arial"/>
          <w:color w:val="000000"/>
          <w:sz w:val="24"/>
          <w:szCs w:val="24"/>
          <w:lang w:eastAsia="es-ES"/>
        </w:rPr>
        <w:t>Sommerville</w:t>
      </w:r>
      <w:proofErr w:type="spellEnd"/>
      <w:r w:rsidRPr="0072650F">
        <w:rPr>
          <w:rFonts w:ascii="Arial" w:eastAsia="Times New Roman" w:hAnsi="Arial" w:cs="Arial"/>
          <w:color w:val="000000"/>
          <w:sz w:val="24"/>
          <w:szCs w:val="24"/>
          <w:lang w:eastAsia="es-ES"/>
        </w:rPr>
        <w:t xml:space="preserve"> (2011) sostiene que “los sistemas de gestión proporcionan una estructura que permite a las organizaciones manejar información compleja de forma coherente, garantizando la trazabilidad y la mejora continua de sus procesos” (p. 104). Por consiguiente, en la educación superior, estos sistemas son instrumentos vitales para la optimización de la gestión tanto académica como administrativa. Esto hace evidente la necesidad de automatizar procesos específicos, como el de pasantías, para lograr una mejora significativa.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sentido, la gestión de pasantías abarca el conjunto de procedimientos administrativos y académicos destinados a integrar a los estudiantes en un ambiente laboral pertinente a su formación. Su relevancia académica reside en que permite aplicar los conocimientos adquiridos, impulsa la colaboración universidad–empresa y fortalece las competencias profesionales. El Ministerio del Poder Popular para la Educación Universitaria (2017) subraya que “las pasantías constituyen un componente esencial del proceso formativo, orientado a la consolidación de saberes técnicos, científicos y éticos en el estudiante” (p. 12). No obstante, para que la administración de las pasantías sea efectiva, es indispensable contar con mecanismos organizacionales y tecnológicos que aseguren la eficiencia de todo el proceso.</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el mundo, numerosas instituciones de educación superior han incorporado plataformas digitales para la gestión de pasantías, permitiendo registrar, supervisar y evaluar el desempeño de los estudiantes de forma centralizada. En países como Bolivia y México, las universidades han adoptado sistemas que integran módulos de seguimiento, evaluación y comunicación entre tutores, empresas y </w:t>
      </w:r>
      <w:proofErr w:type="spellStart"/>
      <w:r w:rsidRPr="0072650F">
        <w:rPr>
          <w:rFonts w:ascii="Arial" w:eastAsia="Times New Roman" w:hAnsi="Arial" w:cs="Arial"/>
          <w:color w:val="000000"/>
          <w:sz w:val="24"/>
          <w:szCs w:val="24"/>
          <w:lang w:eastAsia="es-ES"/>
        </w:rPr>
        <w:t>estudiantes.Según</w:t>
      </w:r>
      <w:proofErr w:type="spellEnd"/>
      <w:r w:rsidRPr="0072650F">
        <w:rPr>
          <w:rFonts w:ascii="Arial" w:eastAsia="Times New Roman" w:hAnsi="Arial" w:cs="Arial"/>
          <w:color w:val="000000"/>
          <w:sz w:val="24"/>
          <w:szCs w:val="24"/>
          <w:lang w:eastAsia="es-ES"/>
        </w:rPr>
        <w:t xml:space="preserve"> Villarroel Apaza (2020), “el Sistema Web para la Gestión de Procesos de Pasantías y Prácticas Profesionales (SISGEPRO) fue desarrollado con el propósito de agilizar los trámites manuales, optimizar la administración de la información y fortalecer el vínculo entre la universidad y las instituciones receptoras” (p. 45). De igual manera, en México, un estudio reciente destaca que “el 100 % de los encuestados consideró </w:t>
      </w:r>
      <w:r w:rsidRPr="0072650F">
        <w:rPr>
          <w:rFonts w:ascii="Arial" w:eastAsia="Times New Roman" w:hAnsi="Arial" w:cs="Arial"/>
          <w:color w:val="000000"/>
          <w:sz w:val="24"/>
          <w:szCs w:val="24"/>
          <w:lang w:eastAsia="es-ES"/>
        </w:rPr>
        <w:lastRenderedPageBreak/>
        <w:t>ineficiente el método manual empleado para gestionar las prácticas profesionales, por lo que se diseñó un prototipo de sistema web que integra a los actores principales, permitiendo la publicación, consulta y seguimiento de vacantes en tiempo real” (García y Hernández, 2024, p. 9). Estos avances demuestran la importancia de implementar herramientas tecnológicas que respaldan el seguimiento académico y administrativo de los estudiantes en formación profesional.</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Venezuela, las universidades enfrentan un contexto de limitaciones tecnológicas que afectan la eficiencia de sus procesos internos. Muchos programas de pasantías aún se gestionan de manera manual, utilizando formularios impresos, hojas de cálculo o comunicaciones informales por correo electrónico. Esta situación genera duplicidad de esfuerzos, errores en los registros y dificultades para acceder a la información histórica. Según Sánchez y López (2019), “la falta de automatización en los procesos académicos de las instituciones venezolanas representa un obstáculo para la transparencia, la eficiencia y la calidad educativa” (p. 47). Por lo tanto, la incorporación de sistemas informáticos de gestión se presenta como una necesidad prioritaria para modernizar los procesos administrativos universitarios.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gestión de pasantías se plantea como una solución viable para optimizar el proceso, centralizar la información y mejorar la comunicación entre los actores involucrados.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tal sentido los resultados de no contar con un sistema automatizado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rsidR="0072650F" w:rsidRPr="0072650F" w:rsidRDefault="0072650F" w:rsidP="0072650F">
      <w:pPr>
        <w:numPr>
          <w:ilvl w:val="0"/>
          <w:numId w:val="1"/>
        </w:numPr>
        <w:spacing w:before="240"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¿Cómo se desarrolla actualmente el proceso de gestión de pasantías en el Instituto Universitario Politécnico “Santiago Mariño”, Extensión Barinas?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rsidR="0072650F" w:rsidRPr="0072650F" w:rsidRDefault="0072650F" w:rsidP="0072650F">
      <w:pPr>
        <w:numPr>
          <w:ilvl w:val="0"/>
          <w:numId w:val="1"/>
        </w:numPr>
        <w:spacing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rsidR="0072650F" w:rsidRPr="0072650F" w:rsidRDefault="0072650F" w:rsidP="0072650F">
      <w:pPr>
        <w:numPr>
          <w:ilvl w:val="0"/>
          <w:numId w:val="1"/>
        </w:numPr>
        <w:spacing w:after="24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¿De qué manera el diseño de un sistema automatizado puede mejorar la eficiencia y efectividad del proceso de gestión de pasantías en la institución?</w:t>
      </w:r>
      <w:r w:rsidRPr="0072650F">
        <w:rPr>
          <w:rFonts w:ascii="Arial" w:eastAsia="Times New Roman" w:hAnsi="Arial" w:cs="Arial"/>
          <w:color w:val="000000"/>
          <w:sz w:val="24"/>
          <w:szCs w:val="24"/>
          <w:lang w:eastAsia="es-ES"/>
        </w:rPr>
        <w:br/>
        <w:t>Objetivos de la Investigación</w:t>
      </w:r>
    </w:p>
    <w:p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Objetivo General</w:t>
      </w:r>
    </w:p>
    <w:p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Objetivos Específicos:</w:t>
      </w:r>
    </w:p>
    <w:p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2. Determinar los requerimientos funcionales y no funcionales para el desarrollo del sistema de gestión de pasantías</w:t>
      </w:r>
    </w:p>
    <w:p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3. Diseñar Sistema de gestión de pasantías para el Instituto Universitario Politécnico 'Santiago Mariño', Extensión Barinas</w:t>
      </w:r>
    </w:p>
    <w:p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8"/>
          <w:szCs w:val="28"/>
          <w:lang w:eastAsia="es-ES"/>
        </w:rPr>
        <w:t>Justificación</w:t>
      </w:r>
    </w:p>
    <w:p w:rsidR="0072650F" w:rsidRPr="0072650F" w:rsidRDefault="0072650F" w:rsidP="0072650F">
      <w:pPr>
        <w:spacing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consiguiente, el presente estudio se lleva a cabo con el propósito de analizar y diseñar un sistema de gestión de pasantías que optimice las tareas </w:t>
      </w:r>
      <w:r w:rsidRPr="0072650F">
        <w:rPr>
          <w:rFonts w:ascii="Arial" w:eastAsia="Times New Roman" w:hAnsi="Arial" w:cs="Arial"/>
          <w:color w:val="000000"/>
          <w:sz w:val="24"/>
          <w:szCs w:val="24"/>
          <w:lang w:eastAsia="es-ES"/>
        </w:rPr>
        <w:lastRenderedPageBreak/>
        <w:t>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rsidR="0072650F" w:rsidRPr="0072650F" w:rsidRDefault="0072650F" w:rsidP="0072650F">
      <w:pPr>
        <w:spacing w:before="280" w:after="8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6"/>
          <w:szCs w:val="26"/>
          <w:lang w:eastAsia="es-ES"/>
        </w:rPr>
        <w:t xml:space="preserve">En el ámbito práctico para el Politécnico Santiago Mariño, este </w:t>
      </w:r>
      <w:proofErr w:type="gramStart"/>
      <w:r w:rsidRPr="0072650F">
        <w:rPr>
          <w:rFonts w:ascii="Arial" w:eastAsia="Times New Roman" w:hAnsi="Arial" w:cs="Arial"/>
          <w:color w:val="000000"/>
          <w:sz w:val="26"/>
          <w:szCs w:val="26"/>
          <w:lang w:eastAsia="es-ES"/>
        </w:rPr>
        <w:t>sistema  representa</w:t>
      </w:r>
      <w:proofErr w:type="gramEnd"/>
      <w:r w:rsidRPr="0072650F">
        <w:rPr>
          <w:rFonts w:ascii="Arial" w:eastAsia="Times New Roman" w:hAnsi="Arial" w:cs="Arial"/>
          <w:color w:val="000000"/>
          <w:sz w:val="26"/>
          <w:szCs w:val="26"/>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6"/>
          <w:szCs w:val="26"/>
          <w:lang w:eastAsia="es-ES"/>
        </w:rPr>
        <w:t>Alcances y Limitaciones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w:t>
      </w:r>
      <w:r w:rsidRPr="0072650F">
        <w:rPr>
          <w:rFonts w:ascii="Arial" w:eastAsia="Times New Roman" w:hAnsi="Arial" w:cs="Arial"/>
          <w:color w:val="000000"/>
          <w:sz w:val="24"/>
          <w:szCs w:val="24"/>
          <w:lang w:eastAsia="es-ES"/>
        </w:rPr>
        <w:lastRenderedPageBreak/>
        <w:t>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El proyecto se delimita exclusivamente a la fase de desarrollo, por lo que la implementación en un entorno de uso real no forma parte del alcance de esta investigación</w:t>
      </w:r>
      <w:r w:rsidRPr="0072650F">
        <w:rPr>
          <w:rFonts w:ascii="Arial" w:eastAsia="Times New Roman" w:hAnsi="Arial" w:cs="Arial"/>
          <w:color w:val="000000"/>
          <w:lang w:eastAsia="es-ES"/>
        </w:rPr>
        <w:t>.</w:t>
      </w:r>
    </w:p>
    <w:p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pict>
          <v:rect id="_x0000_i1025" style="width:0;height:1.5pt" o:hralign="center" o:hrstd="t" o:hr="t" fillcolor="#a0a0a0" stroked="f"/>
        </w:pict>
      </w:r>
    </w:p>
    <w:p w:rsidR="0072650F" w:rsidRPr="0072650F" w:rsidRDefault="0072650F" w:rsidP="0072650F">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w:t>
      </w:r>
      <w:proofErr w:type="spellStart"/>
      <w:r w:rsidRPr="0072650F">
        <w:rPr>
          <w:rFonts w:ascii="Arial" w:eastAsia="Times New Roman" w:hAnsi="Arial" w:cs="Arial"/>
          <w:color w:val="000000"/>
          <w:lang w:val="en-US" w:eastAsia="es-ES"/>
        </w:rPr>
        <w:t>Melo</w:t>
      </w:r>
      <w:proofErr w:type="spellEnd"/>
      <w:r w:rsidRPr="0072650F">
        <w:rPr>
          <w:rFonts w:ascii="Arial" w:eastAsia="Times New Roman" w:hAnsi="Arial" w:cs="Arial"/>
          <w:color w:val="000000"/>
          <w:lang w:val="en-US" w:eastAsia="es-ES"/>
        </w:rPr>
        <w:t xml:space="preserve">,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5"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eastAsia="es-ES"/>
        </w:rPr>
        <w:t>Pressman</w:t>
      </w:r>
      <w:proofErr w:type="spellEnd"/>
      <w:r w:rsidRPr="0072650F">
        <w:rPr>
          <w:rFonts w:ascii="Arial" w:eastAsia="Times New Roman" w:hAnsi="Arial" w:cs="Arial"/>
          <w:color w:val="000000"/>
          <w:lang w:eastAsia="es-ES"/>
        </w:rPr>
        <w:t xml:space="preserve">,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proofErr w:type="spellStart"/>
      <w:r w:rsidRPr="0072650F">
        <w:rPr>
          <w:rFonts w:ascii="Arial" w:eastAsia="Times New Roman" w:hAnsi="Arial" w:cs="Arial"/>
          <w:color w:val="000000"/>
          <w:lang w:eastAsia="es-ES"/>
        </w:rPr>
        <w:t>Sommerville</w:t>
      </w:r>
      <w:proofErr w:type="spellEnd"/>
      <w:r w:rsidRPr="0072650F">
        <w:rPr>
          <w:rFonts w:ascii="Arial" w:eastAsia="Times New Roman" w:hAnsi="Arial" w:cs="Arial"/>
          <w:color w:val="000000"/>
          <w:lang w:eastAsia="es-ES"/>
        </w:rPr>
        <w:t xml:space="preserv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hyperlink r:id="rId6" w:history="1">
        <w:r w:rsidRPr="0072650F">
          <w:rPr>
            <w:rFonts w:ascii="Arial" w:eastAsia="Times New Roman" w:hAnsi="Arial" w:cs="Arial"/>
            <w:color w:val="1155CC"/>
            <w:u w:val="single"/>
            <w:lang w:eastAsia="es-ES"/>
          </w:rPr>
          <w:t xml:space="preserve">Disponible en: </w:t>
        </w:r>
      </w:hyperlink>
      <w:hyperlink r:id="rId7" w:history="1">
        <w:r w:rsidRPr="0072650F">
          <w:rPr>
            <w:rFonts w:ascii="Arial" w:eastAsia="Times New Roman" w:hAnsi="Arial" w:cs="Arial"/>
            <w:color w:val="1155CC"/>
            <w:u w:val="single"/>
            <w:lang w:eastAsia="es-ES"/>
          </w:rPr>
          <w:t>https://repositorio.</w:t>
        </w:r>
        <w:r w:rsidRPr="0072650F">
          <w:rPr>
            <w:rFonts w:ascii="Arial" w:eastAsia="Times New Roman" w:hAnsi="Arial" w:cs="Arial"/>
            <w:color w:val="1155CC"/>
            <w:u w:val="single"/>
            <w:lang w:eastAsia="es-ES"/>
          </w:rPr>
          <w:t>u</w:t>
        </w:r>
        <w:r w:rsidRPr="0072650F">
          <w:rPr>
            <w:rFonts w:ascii="Arial" w:eastAsia="Times New Roman" w:hAnsi="Arial" w:cs="Arial"/>
            <w:color w:val="1155CC"/>
            <w:u w:val="single"/>
            <w:lang w:eastAsia="es-ES"/>
          </w:rPr>
          <w:t>pea.bo/js</w:t>
        </w:r>
        <w:r w:rsidRPr="0072650F">
          <w:rPr>
            <w:rFonts w:ascii="Arial" w:eastAsia="Times New Roman" w:hAnsi="Arial" w:cs="Arial"/>
            <w:color w:val="1155CC"/>
            <w:u w:val="single"/>
            <w:lang w:eastAsia="es-ES"/>
          </w:rPr>
          <w:t>p</w:t>
        </w:r>
        <w:r w:rsidRPr="0072650F">
          <w:rPr>
            <w:rFonts w:ascii="Arial" w:eastAsia="Times New Roman" w:hAnsi="Arial" w:cs="Arial"/>
            <w:color w:val="1155CC"/>
            <w:u w:val="single"/>
            <w:lang w:eastAsia="es-ES"/>
          </w:rPr>
          <w:t>ui/handle/123456789/76</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8"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lastRenderedPageBreak/>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CAPITULO 2</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MARCO TEÓRICO</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Arias (2016)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w:t>
      </w:r>
      <w:proofErr w:type="spellStart"/>
      <w:r w:rsidRPr="0072650F">
        <w:rPr>
          <w:rFonts w:ascii="Arial" w:eastAsia="Times New Roman" w:hAnsi="Arial" w:cs="Arial"/>
          <w:color w:val="0F1115"/>
          <w:sz w:val="24"/>
          <w:szCs w:val="24"/>
          <w:shd w:val="clear" w:color="auto" w:fill="FFFFFF"/>
          <w:lang w:eastAsia="es-ES"/>
        </w:rPr>
        <w:t>operacionalización</w:t>
      </w:r>
      <w:proofErr w:type="spellEnd"/>
      <w:r w:rsidRPr="0072650F">
        <w:rPr>
          <w:rFonts w:ascii="Arial" w:eastAsia="Times New Roman" w:hAnsi="Arial" w:cs="Arial"/>
          <w:color w:val="0F1115"/>
          <w:sz w:val="24"/>
          <w:szCs w:val="24"/>
          <w:shd w:val="clear" w:color="auto" w:fill="FFFFFF"/>
          <w:lang w:eastAsia="es-ES"/>
        </w:rPr>
        <w:t xml:space="preserve"> de las variables y la definición de términos clave. Con base en lo anterior, a </w:t>
      </w:r>
      <w:proofErr w:type="gramStart"/>
      <w:r w:rsidRPr="0072650F">
        <w:rPr>
          <w:rFonts w:ascii="Arial" w:eastAsia="Times New Roman" w:hAnsi="Arial" w:cs="Arial"/>
          <w:color w:val="0F1115"/>
          <w:sz w:val="24"/>
          <w:szCs w:val="24"/>
          <w:shd w:val="clear" w:color="auto" w:fill="FFFFFF"/>
          <w:lang w:eastAsia="es-ES"/>
        </w:rPr>
        <w:t>continuación</w:t>
      </w:r>
      <w:proofErr w:type="gramEnd"/>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hyperlink r:id="rId9" w:anchor=":~:text=La%20investigaci%C3%B3n%20se%20centr%C3%B3%20en,sistema%20de%20informaci%C3%B3n%20abarcan%20varios" w:history="1">
        <w:r w:rsidRPr="0072650F">
          <w:rPr>
            <w:rFonts w:ascii="Arial" w:eastAsia="Times New Roman" w:hAnsi="Arial" w:cs="Arial"/>
            <w:color w:val="1155CC"/>
            <w:u w:val="single"/>
            <w:lang w:eastAsia="es-ES"/>
          </w:rPr>
          <w:t xml:space="preserve">Sistema de información de gestión académica para la coordinación de investigación | Revista </w:t>
        </w:r>
        <w:proofErr w:type="spellStart"/>
        <w:r w:rsidRPr="0072650F">
          <w:rPr>
            <w:rFonts w:ascii="Arial" w:eastAsia="Times New Roman" w:hAnsi="Arial" w:cs="Arial"/>
            <w:color w:val="1155CC"/>
            <w:u w:val="single"/>
            <w:lang w:eastAsia="es-ES"/>
          </w:rPr>
          <w:t>Ethos</w:t>
        </w:r>
        <w:proofErr w:type="spellEnd"/>
      </w:hyperlink>
      <w:r w:rsidRPr="0072650F">
        <w:rPr>
          <w:rFonts w:ascii="Arial" w:eastAsia="Times New Roman" w:hAnsi="Arial" w:cs="Arial"/>
          <w:color w:val="000000"/>
          <w:lang w:eastAsia="es-ES"/>
        </w:rPr>
        <w:t xml:space="preserve"> nacional</w:t>
      </w:r>
    </w:p>
    <w:p w:rsidR="0072650F" w:rsidRPr="0072650F" w:rsidRDefault="0072650F" w:rsidP="0072650F">
      <w:pPr>
        <w:spacing w:after="0" w:line="240" w:lineRule="auto"/>
        <w:rPr>
          <w:rFonts w:ascii="Times New Roman" w:eastAsia="Times New Roman" w:hAnsi="Times New Roman" w:cs="Times New Roman"/>
          <w:sz w:val="24"/>
          <w:szCs w:val="24"/>
          <w:lang w:val="en-US" w:eastAsia="es-ES"/>
        </w:rPr>
      </w:pPr>
      <w:hyperlink r:id="rId10" w:history="1">
        <w:r w:rsidRPr="0072650F">
          <w:rPr>
            <w:rFonts w:ascii="Arial" w:eastAsia="Times New Roman" w:hAnsi="Arial" w:cs="Arial"/>
            <w:color w:val="1155CC"/>
            <w:u w:val="single"/>
            <w:lang w:val="en-US" w:eastAsia="es-ES"/>
          </w:rPr>
          <w:t>http://opac.unellez.edu.ve/doc_num.php?explnum_id=3695</w:t>
        </w:r>
      </w:hyperlink>
      <w:r w:rsidRPr="0072650F">
        <w:rPr>
          <w:rFonts w:ascii="Arial" w:eastAsia="Times New Roman" w:hAnsi="Arial" w:cs="Arial"/>
          <w:color w:val="000000"/>
          <w:lang w:val="en-US" w:eastAsia="es-ES"/>
        </w:rPr>
        <w:t xml:space="preserve"> local </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hyperlink r:id="rId11" w:history="1">
        <w:r w:rsidRPr="0072650F">
          <w:rPr>
            <w:rFonts w:ascii="Arial" w:eastAsia="Times New Roman" w:hAnsi="Arial" w:cs="Arial"/>
            <w:color w:val="1155CC"/>
            <w:u w:val="single"/>
            <w:lang w:eastAsia="es-ES"/>
          </w:rPr>
          <w:t>https://bibdigital.epn.edu.ec/handle/15000/22190</w:t>
        </w:r>
      </w:hyperlink>
      <w:r w:rsidRPr="0072650F">
        <w:rPr>
          <w:rFonts w:ascii="Arial" w:eastAsia="Times New Roman" w:hAnsi="Arial" w:cs="Arial"/>
          <w:color w:val="000000"/>
          <w:lang w:eastAsia="es-ES"/>
        </w:rPr>
        <w:t>  internacional</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8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Los antecedentes constituyen según Arias (2016),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de esta investigación, se incluyen antecedentes internacionales en relación con el tema de la propuesta.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xml:space="preserve">Dentro de este marco de ideas, Salcedo (2024), desarrolló la investigación titulada </w:t>
      </w:r>
      <w:r w:rsidRPr="0072650F">
        <w:rPr>
          <w:rFonts w:ascii="Arial" w:eastAsia="Times New Roman" w:hAnsi="Arial" w:cs="Arial"/>
          <w:i/>
          <w:iCs/>
          <w:color w:val="000000"/>
          <w:sz w:val="24"/>
          <w:szCs w:val="24"/>
          <w:lang w:eastAsia="es-ES"/>
        </w:rPr>
        <w:t>“Sistema de información de gestión académica para la coordinación de investigación”</w:t>
      </w:r>
      <w:r w:rsidRPr="0072650F">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 </w:t>
      </w:r>
      <w:r w:rsidRPr="0072650F">
        <w:rPr>
          <w:rFonts w:ascii="Arial" w:eastAsia="Times New Roman" w:hAnsi="Arial" w:cs="Arial"/>
          <w:color w:val="000000"/>
          <w:sz w:val="24"/>
          <w:szCs w:val="24"/>
          <w:shd w:val="clear" w:color="auto" w:fill="FFFF00"/>
          <w:lang w:eastAsia="es-ES"/>
        </w:rPr>
        <w:t>Esta investigación aporta al presente estudio una guía metodológica basada en el proyecto factible, útil para estructurar la propuesta de desarrollo del sistema de gestión de pasantías. </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Al mismo tiempo, Vivas (2023) presentó la investigación titulada </w:t>
      </w:r>
      <w:r w:rsidRPr="0072650F">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2650F">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Pr="0072650F">
        <w:rPr>
          <w:rFonts w:ascii="Arial" w:eastAsia="Times New Roman" w:hAnsi="Arial" w:cs="Arial"/>
          <w:color w:val="000000"/>
          <w:sz w:val="24"/>
          <w:szCs w:val="24"/>
          <w:shd w:val="clear" w:color="auto" w:fill="FFFF00"/>
          <w:lang w:eastAsia="es-ES"/>
        </w:rPr>
        <w:t>Este trabajo aporta al proyecto actual un modelo de indicadores que puede aplicarse al seguimiento de pasantías y un referente metodológico para la validación de instrumentos y recolección de datos.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su parte, </w:t>
      </w:r>
      <w:proofErr w:type="spellStart"/>
      <w:r w:rsidRPr="0072650F">
        <w:rPr>
          <w:rFonts w:ascii="Arial" w:eastAsia="Times New Roman" w:hAnsi="Arial" w:cs="Arial"/>
          <w:color w:val="000000"/>
          <w:sz w:val="24"/>
          <w:szCs w:val="24"/>
          <w:lang w:eastAsia="es-ES"/>
        </w:rPr>
        <w:t>Tene</w:t>
      </w:r>
      <w:proofErr w:type="spellEnd"/>
      <w:r w:rsidRPr="0072650F">
        <w:rPr>
          <w:rFonts w:ascii="Arial" w:eastAsia="Times New Roman" w:hAnsi="Arial" w:cs="Arial"/>
          <w:color w:val="000000"/>
          <w:sz w:val="24"/>
          <w:szCs w:val="24"/>
          <w:lang w:eastAsia="es-ES"/>
        </w:rPr>
        <w:t xml:space="preserve"> (2021), en la Escuela Politécnica Nacional de Quito (Ecuador), elaboró la tesis titulada </w:t>
      </w:r>
      <w:r w:rsidRPr="0072650F">
        <w:rPr>
          <w:rFonts w:ascii="Arial" w:eastAsia="Times New Roman" w:hAnsi="Arial" w:cs="Arial"/>
          <w:i/>
          <w:iCs/>
          <w:color w:val="000000"/>
          <w:sz w:val="24"/>
          <w:szCs w:val="24"/>
          <w:lang w:eastAsia="es-ES"/>
        </w:rPr>
        <w:t xml:space="preserve">“Desarrollo de un sistema web para la gestión de prácticas </w:t>
      </w:r>
      <w:proofErr w:type="spellStart"/>
      <w:r w:rsidRPr="0072650F">
        <w:rPr>
          <w:rFonts w:ascii="Arial" w:eastAsia="Times New Roman" w:hAnsi="Arial" w:cs="Arial"/>
          <w:i/>
          <w:iCs/>
          <w:color w:val="000000"/>
          <w:sz w:val="24"/>
          <w:szCs w:val="24"/>
          <w:lang w:eastAsia="es-ES"/>
        </w:rPr>
        <w:t>preprofesionales</w:t>
      </w:r>
      <w:proofErr w:type="spellEnd"/>
      <w:r w:rsidRPr="0072650F">
        <w:rPr>
          <w:rFonts w:ascii="Arial" w:eastAsia="Times New Roman" w:hAnsi="Arial" w:cs="Arial"/>
          <w:i/>
          <w:iCs/>
          <w:color w:val="000000"/>
          <w:sz w:val="24"/>
          <w:szCs w:val="24"/>
          <w:lang w:eastAsia="es-ES"/>
        </w:rPr>
        <w:t xml:space="preserve"> y pasantías – ESFOT”</w:t>
      </w:r>
      <w:r w:rsidRPr="0072650F">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La investigación fue de tipo proyecto aplicado, utilizando la metodología ágil </w:t>
      </w:r>
      <w:proofErr w:type="spellStart"/>
      <w:r w:rsidRPr="0072650F">
        <w:rPr>
          <w:rFonts w:ascii="Arial" w:eastAsia="Times New Roman" w:hAnsi="Arial" w:cs="Arial"/>
          <w:color w:val="000000"/>
          <w:sz w:val="24"/>
          <w:szCs w:val="24"/>
          <w:lang w:eastAsia="es-ES"/>
        </w:rPr>
        <w:t>Scrum</w:t>
      </w:r>
      <w:proofErr w:type="spellEnd"/>
      <w:r w:rsidRPr="0072650F">
        <w:rPr>
          <w:rFonts w:ascii="Arial" w:eastAsia="Times New Roman" w:hAnsi="Arial" w:cs="Arial"/>
          <w:color w:val="000000"/>
          <w:sz w:val="24"/>
          <w:szCs w:val="24"/>
          <w:lang w:eastAsia="es-ES"/>
        </w:rPr>
        <w:t>, que permitió dividir el trabajo en fases iterativas (</w:t>
      </w:r>
      <w:proofErr w:type="spellStart"/>
      <w:r w:rsidRPr="0072650F">
        <w:rPr>
          <w:rFonts w:ascii="Arial" w:eastAsia="Times New Roman" w:hAnsi="Arial" w:cs="Arial"/>
          <w:color w:val="000000"/>
          <w:sz w:val="24"/>
          <w:szCs w:val="24"/>
          <w:lang w:eastAsia="es-ES"/>
        </w:rPr>
        <w:t>sprints</w:t>
      </w:r>
      <w:proofErr w:type="spellEnd"/>
      <w:r w:rsidRPr="0072650F">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Pr="0072650F">
        <w:rPr>
          <w:rFonts w:ascii="Arial" w:eastAsia="Times New Roman" w:hAnsi="Arial" w:cs="Arial"/>
          <w:color w:val="000000"/>
          <w:sz w:val="24"/>
          <w:szCs w:val="24"/>
          <w:shd w:val="clear" w:color="auto" w:fill="FFFF00"/>
          <w:lang w:eastAsia="es-ES"/>
        </w:rPr>
        <w:t xml:space="preserve">Este estudio constituye un antecedente directo, pues su estructura modular y </w:t>
      </w:r>
      <w:r w:rsidRPr="0072650F">
        <w:rPr>
          <w:rFonts w:ascii="Arial" w:eastAsia="Times New Roman" w:hAnsi="Arial" w:cs="Arial"/>
          <w:color w:val="000000"/>
          <w:sz w:val="24"/>
          <w:szCs w:val="24"/>
          <w:shd w:val="clear" w:color="auto" w:fill="FFFF00"/>
          <w:lang w:eastAsia="es-ES"/>
        </w:rPr>
        <w:lastRenderedPageBreak/>
        <w:t>metodología de desarrollo pueden ser adaptadas al sistema de gestión propuesto para el Instituto Politécnico Santiago Mariño.</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Bases </w:t>
      </w:r>
      <w:proofErr w:type="spellStart"/>
      <w:r w:rsidRPr="0072650F">
        <w:rPr>
          <w:rFonts w:ascii="Arial" w:eastAsia="Times New Roman" w:hAnsi="Arial" w:cs="Arial"/>
          <w:color w:val="000000"/>
          <w:lang w:eastAsia="es-ES"/>
        </w:rPr>
        <w:t>Teoricas</w:t>
      </w:r>
      <w:proofErr w:type="spellEnd"/>
      <w:r w:rsidRPr="0072650F">
        <w:rPr>
          <w:rFonts w:ascii="Arial" w:eastAsia="Times New Roman" w:hAnsi="Arial" w:cs="Arial"/>
          <w:color w:val="000000"/>
          <w:lang w:eastAsia="es-ES"/>
        </w:rPr>
        <w:t> </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 de información</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Gestion</w:t>
      </w:r>
      <w:proofErr w:type="spellEnd"/>
      <w:r w:rsidRPr="0072650F">
        <w:rPr>
          <w:rFonts w:ascii="Arial" w:eastAsia="Times New Roman" w:hAnsi="Arial" w:cs="Arial"/>
          <w:color w:val="000000"/>
          <w:lang w:eastAsia="es-ES"/>
        </w:rPr>
        <w:t> </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 xml:space="preserve">Sistemas de </w:t>
      </w:r>
      <w:proofErr w:type="spellStart"/>
      <w:r w:rsidRPr="0072650F">
        <w:rPr>
          <w:rFonts w:ascii="Arial" w:eastAsia="Times New Roman" w:hAnsi="Arial" w:cs="Arial"/>
          <w:color w:val="000000"/>
          <w:lang w:eastAsia="es-ES"/>
        </w:rPr>
        <w:t>Gestion</w:t>
      </w:r>
      <w:proofErr w:type="spellEnd"/>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Pasantías  </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Lenguaje de Programación</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Python</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Interfaz Gráfica de Usuario (GUI)</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PySide6</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Aplicaciones de Escritorio</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Base de datos</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Mysql</w:t>
      </w:r>
      <w:proofErr w:type="spellEnd"/>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Xamm</w:t>
      </w:r>
      <w:proofErr w:type="spellEnd"/>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ORM</w:t>
      </w:r>
    </w:p>
    <w:p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SqlAlchemy</w:t>
      </w:r>
      <w:proofErr w:type="spellEnd"/>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8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Arias (2016),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desarrolla 15 conceptos y enfoques vinculados a la tecnología y aplicaciones web. En consecuencia, se profundiza en elementos esenciales como las plataformas web, la comunicación, la interacción y la colaboración en el ámbito académico.</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w:t>
      </w:r>
      <w:proofErr w:type="spellStart"/>
      <w:r w:rsidRPr="0072650F">
        <w:rPr>
          <w:rFonts w:ascii="Arial" w:eastAsia="Times New Roman" w:hAnsi="Arial" w:cs="Arial"/>
          <w:color w:val="000000"/>
          <w:sz w:val="24"/>
          <w:szCs w:val="24"/>
          <w:lang w:eastAsia="es-ES"/>
        </w:rPr>
        <w:t>Checkland</w:t>
      </w:r>
      <w:proofErr w:type="spellEnd"/>
      <w:r w:rsidRPr="0072650F">
        <w:rPr>
          <w:rFonts w:ascii="Arial" w:eastAsia="Times New Roman" w:hAnsi="Arial" w:cs="Arial"/>
          <w:color w:val="000000"/>
          <w:sz w:val="24"/>
          <w:szCs w:val="24"/>
          <w:lang w:eastAsia="es-ES"/>
        </w:rPr>
        <w:t xml:space="preserve">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w:t>
      </w:r>
      <w:proofErr w:type="spellStart"/>
      <w:r w:rsidRPr="0072650F">
        <w:rPr>
          <w:rFonts w:ascii="Arial" w:eastAsia="Times New Roman" w:hAnsi="Arial" w:cs="Arial"/>
          <w:color w:val="000000"/>
          <w:sz w:val="24"/>
          <w:szCs w:val="24"/>
          <w:lang w:eastAsia="es-ES"/>
        </w:rPr>
        <w:t>Laudon</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Laudon</w:t>
      </w:r>
      <w:proofErr w:type="spellEnd"/>
      <w:r w:rsidRPr="0072650F">
        <w:rPr>
          <w:rFonts w:ascii="Arial" w:eastAsia="Times New Roman" w:hAnsi="Arial" w:cs="Arial"/>
          <w:color w:val="000000"/>
          <w:sz w:val="24"/>
          <w:szCs w:val="24"/>
          <w:lang w:eastAsia="es-ES"/>
        </w:rPr>
        <w:t xml:space="preserve"> (2016) "un sistema de información recoge, procesa, almacena y </w:t>
      </w:r>
      <w:r w:rsidRPr="0072650F">
        <w:rPr>
          <w:rFonts w:ascii="Arial" w:eastAsia="Times New Roman" w:hAnsi="Arial" w:cs="Arial"/>
          <w:color w:val="000000"/>
          <w:sz w:val="24"/>
          <w:szCs w:val="24"/>
          <w:lang w:eastAsia="es-ES"/>
        </w:rPr>
        <w:lastRenderedPageBreak/>
        <w:t xml:space="preserve">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gestión</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w:t>
      </w:r>
      <w:proofErr w:type="spellStart"/>
      <w:r w:rsidRPr="0072650F">
        <w:rPr>
          <w:rFonts w:ascii="Arial" w:eastAsia="Times New Roman" w:hAnsi="Arial" w:cs="Arial"/>
          <w:color w:val="000000"/>
          <w:sz w:val="24"/>
          <w:szCs w:val="24"/>
          <w:lang w:eastAsia="es-ES"/>
        </w:rPr>
        <w:t>Kolb</w:t>
      </w:r>
      <w:proofErr w:type="spellEnd"/>
      <w:r w:rsidRPr="0072650F">
        <w:rPr>
          <w:rFonts w:ascii="Arial" w:eastAsia="Times New Roman" w:hAnsi="Arial" w:cs="Arial"/>
          <w:color w:val="000000"/>
          <w:sz w:val="24"/>
          <w:szCs w:val="24"/>
          <w:lang w:eastAsia="es-ES"/>
        </w:rPr>
        <w:t xml:space="preserve">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w:t>
      </w:r>
      <w:r w:rsidRPr="0072650F">
        <w:rPr>
          <w:rFonts w:ascii="Arial" w:eastAsia="Times New Roman" w:hAnsi="Arial" w:cs="Arial"/>
          <w:color w:val="000000"/>
          <w:sz w:val="24"/>
          <w:szCs w:val="24"/>
          <w:lang w:eastAsia="es-ES"/>
        </w:rPr>
        <w:lastRenderedPageBreak/>
        <w:t xml:space="preserve">de un lenguaje en el pensamiento computacional. Según </w:t>
      </w:r>
      <w:proofErr w:type="spellStart"/>
      <w:r w:rsidRPr="0072650F">
        <w:rPr>
          <w:rFonts w:ascii="Arial" w:eastAsia="Times New Roman" w:hAnsi="Arial" w:cs="Arial"/>
          <w:color w:val="000000"/>
          <w:sz w:val="24"/>
          <w:szCs w:val="24"/>
          <w:lang w:eastAsia="es-ES"/>
        </w:rPr>
        <w:t>Hoare</w:t>
      </w:r>
      <w:proofErr w:type="spellEnd"/>
      <w:r w:rsidRPr="0072650F">
        <w:rPr>
          <w:rFonts w:ascii="Arial" w:eastAsia="Times New Roman" w:hAnsi="Arial" w:cs="Arial"/>
          <w:color w:val="000000"/>
          <w:sz w:val="24"/>
          <w:szCs w:val="24"/>
          <w:lang w:eastAsia="es-ES"/>
        </w:rPr>
        <w:t xml:space="preserv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Es un lenguaje de alto nivel diseñado para legibilidad, productividad y una sintaxis clara que favorece el desarrollo rápido de software. Según </w:t>
      </w:r>
      <w:proofErr w:type="spellStart"/>
      <w:r w:rsidRPr="0072650F">
        <w:rPr>
          <w:rFonts w:ascii="Arial" w:eastAsia="Times New Roman" w:hAnsi="Arial" w:cs="Arial"/>
          <w:color w:val="000000"/>
          <w:sz w:val="24"/>
          <w:szCs w:val="24"/>
          <w:lang w:eastAsia="es-ES"/>
        </w:rPr>
        <w:t>Peters</w:t>
      </w:r>
      <w:proofErr w:type="spellEnd"/>
      <w:r w:rsidRPr="0072650F">
        <w:rPr>
          <w:rFonts w:ascii="Arial" w:eastAsia="Times New Roman" w:hAnsi="Arial" w:cs="Arial"/>
          <w:color w:val="000000"/>
          <w:sz w:val="24"/>
          <w:szCs w:val="24"/>
          <w:lang w:eastAsia="es-ES"/>
        </w:rPr>
        <w:t xml:space="preserve">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xml:space="preserve">". Esta máxima resalta la prioridad del diseño legible sobre atajos confusos. Según van </w:t>
      </w:r>
      <w:proofErr w:type="spellStart"/>
      <w:r w:rsidRPr="0072650F">
        <w:rPr>
          <w:rFonts w:ascii="Arial" w:eastAsia="Times New Roman" w:hAnsi="Arial" w:cs="Arial"/>
          <w:color w:val="000000"/>
          <w:sz w:val="24"/>
          <w:szCs w:val="24"/>
          <w:lang w:eastAsia="es-ES"/>
        </w:rPr>
        <w:t>Rossum</w:t>
      </w:r>
      <w:proofErr w:type="spellEnd"/>
      <w:r w:rsidRPr="0072650F">
        <w:rPr>
          <w:rFonts w:ascii="Arial" w:eastAsia="Times New Roman" w:hAnsi="Arial" w:cs="Arial"/>
          <w:color w:val="000000"/>
          <w:sz w:val="24"/>
          <w:szCs w:val="24"/>
          <w:lang w:eastAsia="es-ES"/>
        </w:rPr>
        <w:t xml:space="preserve"> (1999) "Python pretende ser simple, práctico y comprensible para programadores de distintos niveles". De ello se concluye que Python facilita </w:t>
      </w:r>
      <w:proofErr w:type="spellStart"/>
      <w:r w:rsidRPr="0072650F">
        <w:rPr>
          <w:rFonts w:ascii="Arial" w:eastAsia="Times New Roman" w:hAnsi="Arial" w:cs="Arial"/>
          <w:color w:val="000000"/>
          <w:sz w:val="24"/>
          <w:szCs w:val="24"/>
          <w:lang w:eastAsia="es-ES"/>
        </w:rPr>
        <w:t>prototipado</w:t>
      </w:r>
      <w:proofErr w:type="spellEnd"/>
      <w:r w:rsidRPr="0072650F">
        <w:rPr>
          <w:rFonts w:ascii="Arial" w:eastAsia="Times New Roman" w:hAnsi="Arial" w:cs="Arial"/>
          <w:color w:val="000000"/>
          <w:sz w:val="24"/>
          <w:szCs w:val="24"/>
          <w:lang w:eastAsia="es-ES"/>
        </w:rPr>
        <w:t>, enseñanza y proyectos de producción por su equilibrio entre expresividad y simplicidad. Por eso se ha popularizado en ciencia de datos, web y automatización, gracias a su ecosistema de librerías.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proofErr w:type="spellStart"/>
      <w:r w:rsidRPr="0072650F">
        <w:rPr>
          <w:rFonts w:ascii="Arial" w:eastAsia="Times New Roman" w:hAnsi="Arial" w:cs="Arial"/>
          <w:color w:val="000000"/>
          <w:sz w:val="24"/>
          <w:szCs w:val="24"/>
          <w:lang w:eastAsia="es-ES"/>
        </w:rPr>
        <w:t>affordances</w:t>
      </w:r>
      <w:proofErr w:type="spellEnd"/>
      <w:r w:rsidRPr="0072650F">
        <w:rPr>
          <w:rFonts w:ascii="Arial" w:eastAsia="Times New Roman" w:hAnsi="Arial" w:cs="Arial"/>
          <w:color w:val="000000"/>
          <w:sz w:val="24"/>
          <w:szCs w:val="24"/>
          <w:lang w:eastAsia="es-ES"/>
        </w:rPr>
        <w:t xml:space="preserve"> y retroalimentación. Según </w:t>
      </w:r>
      <w:proofErr w:type="spellStart"/>
      <w:r w:rsidRPr="0072650F">
        <w:rPr>
          <w:rFonts w:ascii="Arial" w:eastAsia="Times New Roman" w:hAnsi="Arial" w:cs="Arial"/>
          <w:color w:val="000000"/>
          <w:sz w:val="24"/>
          <w:szCs w:val="24"/>
          <w:lang w:eastAsia="es-ES"/>
        </w:rPr>
        <w:t>Nielsen</w:t>
      </w:r>
      <w:proofErr w:type="spellEnd"/>
      <w:r w:rsidRPr="0072650F">
        <w:rPr>
          <w:rFonts w:ascii="Arial" w:eastAsia="Times New Roman" w:hAnsi="Arial" w:cs="Arial"/>
          <w:color w:val="000000"/>
          <w:sz w:val="24"/>
          <w:szCs w:val="24"/>
          <w:lang w:eastAsia="es-ES"/>
        </w:rPr>
        <w:t xml:space="preserve">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PySide6 es el </w:t>
      </w:r>
      <w:proofErr w:type="spellStart"/>
      <w:r w:rsidRPr="0072650F">
        <w:rPr>
          <w:rFonts w:ascii="Arial" w:eastAsia="Times New Roman" w:hAnsi="Arial" w:cs="Arial"/>
          <w:color w:val="000000"/>
          <w:sz w:val="24"/>
          <w:szCs w:val="24"/>
          <w:lang w:eastAsia="es-ES"/>
        </w:rPr>
        <w:t>binding</w:t>
      </w:r>
      <w:proofErr w:type="spellEnd"/>
      <w:r w:rsidRPr="0072650F">
        <w:rPr>
          <w:rFonts w:ascii="Arial" w:eastAsia="Times New Roman" w:hAnsi="Arial" w:cs="Arial"/>
          <w:color w:val="000000"/>
          <w:sz w:val="24"/>
          <w:szCs w:val="24"/>
          <w:lang w:eastAsia="es-ES"/>
        </w:rPr>
        <w:t xml:space="preserve"> oficial de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Company (2021)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con API consistente y rendimiento nativo". De aquí se concluye que PySide6 combina productividad de Python con capacidades gráficas avanzadas de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Por tanto, es una opción sólida para aplicaciones de escritorio profesionales en Python.</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las aplicaciones de escritorio son programas instalados y ejecutados en un ordenador personal que aprovechan recursos locales y ofrecen una experiencia de usuario completa. Según </w:t>
      </w:r>
      <w:proofErr w:type="spellStart"/>
      <w:r w:rsidRPr="0072650F">
        <w:rPr>
          <w:rFonts w:ascii="Arial" w:eastAsia="Times New Roman" w:hAnsi="Arial" w:cs="Arial"/>
          <w:color w:val="000000"/>
          <w:sz w:val="24"/>
          <w:szCs w:val="24"/>
          <w:lang w:eastAsia="es-ES"/>
        </w:rPr>
        <w:t>Sommerville</w:t>
      </w:r>
      <w:proofErr w:type="spellEnd"/>
      <w:r w:rsidRPr="0072650F">
        <w:rPr>
          <w:rFonts w:ascii="Arial" w:eastAsia="Times New Roman" w:hAnsi="Arial" w:cs="Arial"/>
          <w:color w:val="000000"/>
          <w:sz w:val="24"/>
          <w:szCs w:val="24"/>
          <w:lang w:eastAsia="es-ES"/>
        </w:rPr>
        <w:t xml:space="preserv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w:t>
      </w:r>
      <w:r w:rsidRPr="0072650F">
        <w:rPr>
          <w:rFonts w:ascii="Arial" w:eastAsia="Times New Roman" w:hAnsi="Arial" w:cs="Arial"/>
          <w:color w:val="000000"/>
          <w:sz w:val="24"/>
          <w:szCs w:val="24"/>
          <w:lang w:eastAsia="es-ES"/>
        </w:rPr>
        <w:lastRenderedPageBreak/>
        <w:t>expansión web, las aplicaciones de escritorio conservan relevancia en productividad, seguridad y control local. Por ende, su diseño debe priorizar estabilidad, actualizaciones y experiencia nativa.</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w:t>
      </w:r>
      <w:proofErr w:type="spellStart"/>
      <w:r w:rsidRPr="0072650F">
        <w:rPr>
          <w:rFonts w:ascii="Arial" w:eastAsia="Times New Roman" w:hAnsi="Arial" w:cs="Arial"/>
          <w:color w:val="000000"/>
          <w:sz w:val="24"/>
          <w:szCs w:val="24"/>
          <w:lang w:eastAsia="es-ES"/>
        </w:rPr>
        <w:t>Codd</w:t>
      </w:r>
      <w:proofErr w:type="spellEnd"/>
      <w:r w:rsidRPr="0072650F">
        <w:rPr>
          <w:rFonts w:ascii="Arial" w:eastAsia="Times New Roman" w:hAnsi="Arial" w:cs="Arial"/>
          <w:color w:val="000000"/>
          <w:sz w:val="24"/>
          <w:szCs w:val="24"/>
          <w:lang w:eastAsia="es-ES"/>
        </w:rPr>
        <w:t xml:space="preserve">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MySQL</w:t>
      </w:r>
      <w:proofErr w:type="spellEnd"/>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xml:space="preserve">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xml:space="preserve"> nace como motor rápido y fiable para aplicaciones web y empresariales". Esto explica su adopción temprana en entornos LAMP. Según la documentación de Oracle/</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xml:space="preserve"> (2010) "</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xml:space="preserve"> ofrece características de replicación, seguridad y rendimiento para cargas diversas". La conclusión es que </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xml:space="preserve">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almacenamiento, pero introducen consideraciones de rendimiento". La </w:t>
      </w:r>
      <w:r w:rsidRPr="0072650F">
        <w:rPr>
          <w:rFonts w:ascii="Arial" w:eastAsia="Times New Roman" w:hAnsi="Arial" w:cs="Arial"/>
          <w:color w:val="000000"/>
          <w:sz w:val="24"/>
          <w:szCs w:val="24"/>
          <w:lang w:eastAsia="es-ES"/>
        </w:rPr>
        <w:lastRenderedPageBreak/>
        <w:t>conclusión es que los ORM aceleran el desarrollo y mantienen coherencia del modelo, aunque requieren comprensión de las consultas subyacentes. Por tanto, su uso exige equilibrio entre productividad y optimización SQL.</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SQLAlchemy</w:t>
      </w:r>
      <w:proofErr w:type="spellEnd"/>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Bases Legales</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110</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108</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  </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21.  </w:t>
      </w:r>
    </w:p>
    <w:p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 xml:space="preserve">Las Bases Legales de una investigación comprende las diversas normas y disposiciones que regulan su desarrollo, garantizando así su conformidad con las exigencias de los organismos competentes. Al respecto, Según </w:t>
      </w:r>
      <w:proofErr w:type="spellStart"/>
      <w:r w:rsidRPr="0072650F">
        <w:rPr>
          <w:rFonts w:ascii="Arial" w:eastAsia="Times New Roman" w:hAnsi="Arial" w:cs="Arial"/>
          <w:color w:val="000000"/>
          <w:sz w:val="24"/>
          <w:szCs w:val="24"/>
          <w:lang w:eastAsia="es-ES"/>
        </w:rPr>
        <w:t>Querales</w:t>
      </w:r>
      <w:proofErr w:type="spellEnd"/>
      <w:r w:rsidRPr="0072650F">
        <w:rPr>
          <w:rFonts w:ascii="Arial" w:eastAsia="Times New Roman" w:hAnsi="Arial" w:cs="Arial"/>
          <w:color w:val="000000"/>
          <w:sz w:val="24"/>
          <w:szCs w:val="24"/>
          <w:lang w:eastAsia="es-ES"/>
        </w:rPr>
        <w:t xml:space="preserve">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108</w:t>
      </w:r>
    </w:p>
    <w:p w:rsidR="0072650F" w:rsidRPr="0072650F" w:rsidRDefault="0072650F" w:rsidP="0072650F">
      <w:pPr>
        <w:spacing w:after="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lastRenderedPageBreak/>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110</w:t>
      </w:r>
    </w:p>
    <w:p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w:t>
      </w:r>
    </w:p>
    <w:p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“Las actividades científicas, tecnológicas, de innovación y sus aplicaciones son de interés público para el ejercicio de la soberanía nacional en todos los ámbitos de la sociedad y la cultura”.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21</w:t>
      </w:r>
    </w:p>
    <w:p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lastRenderedPageBreak/>
        <w:pict>
          <v:rect id="_x0000_i1026" style="width:0;height:1.5pt" o:hralign="center" o:hrstd="t" o:hr="t" fillcolor="#a0a0a0" stroked="f"/>
        </w:pic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2"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Codd</w:t>
      </w:r>
      <w:proofErr w:type="spellEnd"/>
      <w:r w:rsidRPr="0072650F">
        <w:rPr>
          <w:rFonts w:ascii="Arial" w:eastAsia="Times New Roman" w:hAnsi="Arial" w:cs="Arial"/>
          <w:color w:val="000000"/>
          <w:lang w:val="en-US" w:eastAsia="es-ES"/>
        </w:rPr>
        <w:t xml:space="preserve">,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Fayol</w:t>
      </w:r>
      <w:proofErr w:type="spellEnd"/>
      <w:r w:rsidRPr="0072650F">
        <w:rPr>
          <w:rFonts w:ascii="Arial" w:eastAsia="Times New Roman" w:hAnsi="Arial" w:cs="Arial"/>
          <w:color w:val="000000"/>
          <w:lang w:val="en-US" w:eastAsia="es-ES"/>
        </w:rPr>
        <w:t xml:space="preserve">,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Hartmut</w:t>
      </w:r>
      <w:proofErr w:type="spellEnd"/>
      <w:r w:rsidRPr="0072650F">
        <w:rPr>
          <w:rFonts w:ascii="Arial" w:eastAsia="Times New Roman" w:hAnsi="Arial" w:cs="Arial"/>
          <w:color w:val="000000"/>
          <w:lang w:val="en-US" w:eastAsia="es-ES"/>
        </w:rPr>
        <w:t xml:space="preserve">,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3"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w:t>
      </w:r>
      <w:proofErr w:type="spellStart"/>
      <w:r w:rsidRPr="0072650F">
        <w:rPr>
          <w:rFonts w:ascii="Arial" w:eastAsia="Times New Roman" w:hAnsi="Arial" w:cs="Arial"/>
          <w:color w:val="000000"/>
          <w:lang w:val="en-US" w:eastAsia="es-ES"/>
        </w:rPr>
        <w:t>Qt</w:t>
      </w:r>
      <w:proofErr w:type="spellEnd"/>
      <w:r w:rsidRPr="0072650F">
        <w:rPr>
          <w:rFonts w:ascii="Arial" w:eastAsia="Times New Roman" w:hAnsi="Arial" w:cs="Arial"/>
          <w:color w:val="000000"/>
          <w:lang w:val="en-US" w:eastAsia="es-ES"/>
        </w:rPr>
        <w:t xml:space="preserve"> Company. (2021). </w:t>
      </w:r>
      <w:proofErr w:type="spellStart"/>
      <w:r w:rsidRPr="0072650F">
        <w:rPr>
          <w:rFonts w:ascii="Arial" w:eastAsia="Times New Roman" w:hAnsi="Arial" w:cs="Arial"/>
          <w:i/>
          <w:iCs/>
          <w:color w:val="000000"/>
          <w:lang w:val="en-US" w:eastAsia="es-ES"/>
        </w:rPr>
        <w:t>Qt</w:t>
      </w:r>
      <w:proofErr w:type="spellEnd"/>
      <w:r w:rsidRPr="0072650F">
        <w:rPr>
          <w:rFonts w:ascii="Arial" w:eastAsia="Times New Roman" w:hAnsi="Arial" w:cs="Arial"/>
          <w:i/>
          <w:iCs/>
          <w:color w:val="000000"/>
          <w:lang w:val="en-US" w:eastAsia="es-ES"/>
        </w:rPr>
        <w:t xml:space="preserve">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Sommerville</w:t>
      </w:r>
      <w:proofErr w:type="spellEnd"/>
      <w:r w:rsidRPr="0072650F">
        <w:rPr>
          <w:rFonts w:ascii="Arial" w:eastAsia="Times New Roman" w:hAnsi="Arial" w:cs="Arial"/>
          <w:color w:val="000000"/>
          <w:lang w:val="en-US" w:eastAsia="es-ES"/>
        </w:rPr>
        <w:t xml:space="preserv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Schön</w:t>
      </w:r>
      <w:proofErr w:type="spellEnd"/>
      <w:r w:rsidRPr="0072650F">
        <w:rPr>
          <w:rFonts w:ascii="Arial" w:eastAsia="Times New Roman" w:hAnsi="Arial" w:cs="Arial"/>
          <w:color w:val="000000"/>
          <w:lang w:val="en-US" w:eastAsia="es-ES"/>
        </w:rPr>
        <w:t xml:space="preserve">,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lastRenderedPageBreak/>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proofErr w:type="spellStart"/>
      <w:r w:rsidRPr="0072650F">
        <w:rPr>
          <w:rFonts w:ascii="Arial" w:eastAsia="Times New Roman" w:hAnsi="Arial" w:cs="Arial"/>
          <w:color w:val="000000"/>
          <w:lang w:eastAsia="es-ES"/>
        </w:rPr>
        <w:t>Cengage</w:t>
      </w:r>
      <w:proofErr w:type="spellEnd"/>
      <w:r w:rsidRPr="0072650F">
        <w:rPr>
          <w:rFonts w:ascii="Arial" w:eastAsia="Times New Roman" w:hAnsi="Arial" w:cs="Arial"/>
          <w:color w:val="000000"/>
          <w:lang w:eastAsia="es-ES"/>
        </w:rPr>
        <w:t>.</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Arial" w:eastAsia="Times New Roman" w:hAnsi="Arial" w:cs="Arial"/>
          <w:color w:val="000000"/>
          <w:sz w:val="24"/>
          <w:szCs w:val="24"/>
          <w:lang w:eastAsia="es-ES"/>
        </w:rPr>
        <w:br/>
      </w: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pPr>
    </w:p>
    <w:p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rsidR="0072650F" w:rsidRPr="0072650F" w:rsidRDefault="00537280" w:rsidP="0072650F">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lastRenderedPageBreak/>
        <w:t>Cua</w:t>
      </w:r>
      <w:r w:rsidR="0072650F" w:rsidRPr="0072650F">
        <w:rPr>
          <w:rFonts w:ascii="Arial" w:eastAsia="Times New Roman" w:hAnsi="Arial" w:cs="Arial"/>
          <w:color w:val="000000"/>
          <w:lang w:eastAsia="es-ES"/>
        </w:rPr>
        <w:t xml:space="preserve">dro 1. </w:t>
      </w:r>
      <w:proofErr w:type="spellStart"/>
      <w:r w:rsidR="0072650F" w:rsidRPr="0072650F">
        <w:rPr>
          <w:rFonts w:ascii="Arial" w:eastAsia="Times New Roman" w:hAnsi="Arial" w:cs="Arial"/>
          <w:color w:val="000000"/>
          <w:lang w:eastAsia="es-ES"/>
        </w:rPr>
        <w:t>Operacionalización</w:t>
      </w:r>
      <w:proofErr w:type="spellEnd"/>
      <w:r w:rsidR="0072650F" w:rsidRPr="0072650F">
        <w:rPr>
          <w:rFonts w:ascii="Arial" w:eastAsia="Times New Roman" w:hAnsi="Arial" w:cs="Arial"/>
          <w:color w:val="000000"/>
          <w:lang w:eastAsia="es-ES"/>
        </w:rPr>
        <w:t xml:space="preserve"> de las Variables </w:t>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Objetivo General: </w:t>
      </w: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576"/>
        <w:gridCol w:w="4532"/>
        <w:gridCol w:w="3951"/>
        <w:gridCol w:w="1695"/>
        <w:gridCol w:w="1441"/>
        <w:gridCol w:w="787"/>
      </w:tblGrid>
      <w:tr w:rsidR="0072650F" w:rsidRPr="0072650F" w:rsidTr="0072650F">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Variables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Definición Conceptual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Definición Operacional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Dimensiones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Indicadores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Ítems</w:t>
            </w:r>
          </w:p>
        </w:tc>
      </w:tr>
      <w:tr w:rsidR="0072650F" w:rsidRPr="0072650F" w:rsidTr="0072650F">
        <w:trPr>
          <w:trHeight w:val="114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Sistema</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Se define como un conjunto de elementos interrelacionados e</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interdependientes que operan de manera organizada para alcanzar un propósito común.</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Se refiere a la operatividad del software instalado en el equipo,</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medido por su compatibilidad con el sistema operativo, el consumo de recursos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de hardware (RAM/Disco) y la eficacia de sus módulos funcionales (formularios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y reportes)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roofErr w:type="spellStart"/>
            <w:r w:rsidRPr="0072650F">
              <w:rPr>
                <w:rFonts w:ascii="Arial" w:eastAsia="Times New Roman" w:hAnsi="Arial" w:cs="Arial"/>
                <w:color w:val="000000"/>
                <w:sz w:val="24"/>
                <w:szCs w:val="24"/>
                <w:lang w:eastAsia="es-ES"/>
              </w:rPr>
              <w:t>Tecnológia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r w:rsidR="0072650F" w:rsidRPr="0072650F" w:rsidTr="0072650F">
        <w:trPr>
          <w:trHeight w:val="112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Funcionalidad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r w:rsidR="0072650F" w:rsidRPr="0072650F" w:rsidTr="0072650F">
        <w:trPr>
          <w:trHeight w:val="99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Usabilidad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r w:rsidR="0072650F" w:rsidRPr="0072650F" w:rsidTr="0072650F">
        <w:trPr>
          <w:trHeight w:val="140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roofErr w:type="spellStart"/>
            <w:r w:rsidRPr="0072650F">
              <w:rPr>
                <w:rFonts w:ascii="Arial" w:eastAsia="Times New Roman" w:hAnsi="Arial" w:cs="Arial"/>
                <w:color w:val="000000"/>
                <w:sz w:val="24"/>
                <w:szCs w:val="24"/>
                <w:lang w:eastAsia="es-ES"/>
              </w:rPr>
              <w:t>Gestion</w:t>
            </w:r>
            <w:proofErr w:type="spellEnd"/>
            <w:r w:rsidRPr="0072650F">
              <w:rPr>
                <w:rFonts w:ascii="Arial" w:eastAsia="Times New Roman" w:hAnsi="Arial" w:cs="Arial"/>
                <w:color w:val="000000"/>
                <w:sz w:val="24"/>
                <w:szCs w:val="24"/>
                <w:lang w:eastAsia="es-ES"/>
              </w:rPr>
              <w:t xml:space="preserve"> de Pasantes</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Es el proceso estratégico que planifica, monitorea y evalúa la</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vinculación temporal de estudiantes con organizaciones, alineando los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objetivos académicos con la práctica laboral real.</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Se refiere a la capacidad del sistema para digitalizar y procesar</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el flujo de trabajo de las pasantías, abarcando desde el registro de fichas</w:t>
            </w:r>
          </w:p>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de estudiantes hasta la emisión automatizada de la documentación final.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Registro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r w:rsidR="0072650F" w:rsidRPr="0072650F" w:rsidTr="0072650F">
        <w:trPr>
          <w:trHeight w:val="140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Seguimiento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r w:rsidR="0072650F" w:rsidRPr="0072650F" w:rsidTr="0072650F">
        <w:trPr>
          <w:trHeight w:val="39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Evaluación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w:t>
            </w:r>
          </w:p>
        </w:tc>
      </w:tr>
    </w:tbl>
    <w:p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Definición de términos básicos</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apartado se exponen los vocablos y nociones fundamentales vinculados a la problemática del estudio. Tal como plantea Arias (2016),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Backend</w:t>
      </w:r>
      <w:proofErr w:type="spellEnd"/>
      <w:r w:rsidRPr="0072650F">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Datos: </w:t>
      </w:r>
      <w:r w:rsidRPr="0072650F">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 xml:space="preserve">Interfaz: </w:t>
      </w:r>
      <w:r w:rsidRPr="0072650F">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Usuario: </w:t>
      </w:r>
      <w:r w:rsidRPr="0072650F">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Documentación: </w:t>
      </w:r>
      <w:r w:rsidRPr="0072650F">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Pasante: </w:t>
      </w:r>
      <w:r w:rsidRPr="0072650F">
        <w:rPr>
          <w:rFonts w:ascii="Arial" w:eastAsia="Times New Roman" w:hAnsi="Arial" w:cs="Arial"/>
          <w:color w:val="000000"/>
          <w:sz w:val="24"/>
          <w:szCs w:val="24"/>
          <w:lang w:eastAsia="es-ES"/>
        </w:rPr>
        <w:t>Estudiante regular que ha cumplido con los requisitos académicos necesarios para optar por la realización de prácticas profesionales en una organización, y que figura como el usuario principal cuyos datos y actividades serán gestionados por el sistema.</w:t>
      </w:r>
      <w:r w:rsidRPr="0072650F">
        <w:rPr>
          <w:rFonts w:ascii="Arial" w:eastAsia="Times New Roman" w:hAnsi="Arial" w:cs="Arial"/>
          <w:b/>
          <w:bCs/>
          <w:color w:val="000000"/>
          <w:sz w:val="24"/>
          <w:szCs w:val="24"/>
          <w:lang w:eastAsia="es-ES"/>
        </w:rPr>
        <w:t> </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Académico: </w:t>
      </w:r>
      <w:r w:rsidRPr="0072650F">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Empresarial: </w:t>
      </w:r>
      <w:r w:rsidRPr="0072650F">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Periodo de Pasantía:</w:t>
      </w:r>
      <w:r w:rsidR="00240EE9">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rsidR="000F3E7A" w:rsidRDefault="005505DC"/>
    <w:p w:rsidR="0072650F" w:rsidRDefault="0072650F"/>
    <w:p w:rsidR="00537280" w:rsidRDefault="00537280"/>
    <w:p w:rsidR="00537280" w:rsidRDefault="00537280"/>
    <w:p w:rsidR="00537280" w:rsidRDefault="00537280"/>
    <w:p w:rsidR="00537280" w:rsidRDefault="00537280">
      <w:pPr>
        <w:sectPr w:rsidR="00537280" w:rsidSect="00537280">
          <w:pgSz w:w="16838" w:h="11906" w:orient="landscape"/>
          <w:pgMar w:top="1701" w:right="1418" w:bottom="1701" w:left="1418" w:header="709" w:footer="709" w:gutter="0"/>
          <w:cols w:space="708"/>
          <w:docGrid w:linePitch="360"/>
        </w:sectPr>
      </w:pPr>
    </w:p>
    <w:p w:rsidR="0072650F" w:rsidRDefault="0072650F" w:rsidP="00537280">
      <w:pPr>
        <w:jc w:val="center"/>
      </w:pPr>
      <w:r>
        <w:lastRenderedPageBreak/>
        <w:t>Capitulo III</w:t>
      </w:r>
    </w:p>
    <w:p w:rsidR="00537280" w:rsidRDefault="00537280" w:rsidP="00537280">
      <w:pPr>
        <w:jc w:val="center"/>
      </w:pPr>
      <w:r>
        <w:t>MARCO METODOLÓGICO</w:t>
      </w:r>
    </w:p>
    <w:p w:rsidR="0072650F" w:rsidRDefault="00537280" w:rsidP="00537280">
      <w:pPr>
        <w:ind w:firstLine="708"/>
        <w:jc w:val="both"/>
      </w:pPr>
      <w:r>
        <w:t xml:space="preserve">Al desarrollar una investigación, el marco metodológico se conceptualiza según Hurtado (2010) como el proceso que </w:t>
      </w:r>
      <w:r>
        <w:rPr>
          <w:b/>
          <w:bCs/>
        </w:rPr>
        <w:t>“se refiere a la manera de llevar a cabo el estudio que incluye los métodos, las técnicas, las tácticas, las estrategias y los procedimientos que el investigador utilizará” (p. 97)</w:t>
      </w:r>
      <w:r>
        <w:t>. En otras palabras, esta sección tiene la función de puntualizar el enfoque, el esquema de trabajo y las características técnicas específicas del proyecto.</w:t>
      </w:r>
    </w:p>
    <w:p w:rsidR="006B5A72" w:rsidRDefault="006B5A72" w:rsidP="00537280">
      <w:pPr>
        <w:ind w:firstLine="708"/>
        <w:jc w:val="both"/>
        <w:rPr>
          <w:b/>
          <w:bCs/>
        </w:rPr>
      </w:pPr>
      <w:r>
        <w:rPr>
          <w:b/>
          <w:bCs/>
        </w:rPr>
        <w:t>Naturaleza de la investigación</w:t>
      </w:r>
    </w:p>
    <w:p w:rsidR="006B5A72" w:rsidRDefault="006B5A72" w:rsidP="00537280">
      <w:pPr>
        <w:ind w:firstLine="708"/>
        <w:jc w:val="both"/>
      </w:pPr>
      <w:r>
        <w:t xml:space="preserve"> La metodología de este proyecto se define a través de un modelo cuantitativo. Dicho enfoque se sustenta en la definición de </w:t>
      </w:r>
      <w:proofErr w:type="spellStart"/>
      <w:r>
        <w:t>Palella</w:t>
      </w:r>
      <w:proofErr w:type="spellEnd"/>
      <w:r>
        <w:t xml:space="preserve"> y </w:t>
      </w:r>
      <w:proofErr w:type="spellStart"/>
      <w:r>
        <w:t>Martins</w:t>
      </w:r>
      <w:proofErr w:type="spellEnd"/>
      <w:r>
        <w:t xml:space="preserve"> (2017): </w:t>
      </w:r>
      <w:r>
        <w:rPr>
          <w:b/>
          <w:bCs/>
        </w:rPr>
        <w:t>“La investigación cuantitativa requiere el uso de instrumentos de medición y comparación, que proporcionan datos cuyo estudio necesita la aplicación de modelos matemáticos y estadísticos…El conocimiento está basado en los hechos…” (p. 46).</w:t>
      </w:r>
      <w:r>
        <w:t xml:space="preserve"> Se optó por esta vía debido a que facilita la obtención de conclusiones estadísticas y generalizables, elementos clave para validar la relevancia y el impacto del desarrollo tecnológico propuesto para la universidad.</w:t>
      </w:r>
    </w:p>
    <w:p w:rsidR="006B5A72" w:rsidRDefault="006B5A72" w:rsidP="00537280">
      <w:pPr>
        <w:ind w:firstLine="708"/>
        <w:jc w:val="both"/>
      </w:pPr>
      <w:r>
        <w:rPr>
          <w:b/>
          <w:bCs/>
        </w:rPr>
        <w:t>Diseño de la Investigación</w:t>
      </w:r>
      <w:r>
        <w:t xml:space="preserve"> </w:t>
      </w:r>
    </w:p>
    <w:p w:rsidR="006B5A72" w:rsidRDefault="006B5A72" w:rsidP="00537280">
      <w:pPr>
        <w:ind w:firstLine="708"/>
        <w:jc w:val="both"/>
      </w:pPr>
      <w:r>
        <w:t xml:space="preserve">Para abordar el problema de estudio de manera efectiva, se ha seleccionado un diseño que sirve como hoja de ruta. Al respecto, Arias (2016) sostiene que: </w:t>
      </w:r>
      <w:r>
        <w:rPr>
          <w:b/>
          <w:bCs/>
        </w:rPr>
        <w:t>“El diseño de investigación es la estrategia general que adopta el investigador para responder al problema planteado”</w:t>
      </w:r>
      <w:r>
        <w:t xml:space="preserve">. En coherencia con este planteamiento, el trabajo se desarrolla bajo la modalidad de campo, definida nuevamente por Arias (2016) de la siguiente manera: </w:t>
      </w:r>
      <w:r>
        <w:rPr>
          <w:b/>
          <w:bCs/>
        </w:rPr>
        <w:t>“La investigación de campo es aquella que consiste en la relación de datos directamente de los sujetos investigados, o de la realidad donde ocurren los hechos (datos primarios), sin manipular o controlar variable alguna”</w:t>
      </w:r>
      <w:r>
        <w:t>. Lo anterior justifica el procedimiento de captura de datos previsto, pues la investigación se fundamenta en obtener testimonios y evidencias directamente del contexto natural donde se originan los hechos.</w:t>
      </w:r>
    </w:p>
    <w:p w:rsidR="005134D8" w:rsidRDefault="005134D8" w:rsidP="005134D8">
      <w:pPr>
        <w:ind w:firstLine="708"/>
        <w:jc w:val="both"/>
      </w:pPr>
      <w:r>
        <w:t>Tipo de Investigación</w:t>
      </w:r>
    </w:p>
    <w:p w:rsidR="003A4EAC" w:rsidRDefault="003A4EAC" w:rsidP="003A4EAC">
      <w:pPr>
        <w:ind w:firstLine="708"/>
        <w:jc w:val="both"/>
      </w:pPr>
      <w:r>
        <w:t>Tipo de Investigación</w:t>
      </w:r>
    </w:p>
    <w:p w:rsidR="003A4EAC" w:rsidRDefault="003A4EAC" w:rsidP="003A4EAC">
      <w:pPr>
        <w:ind w:firstLine="708"/>
        <w:jc w:val="both"/>
      </w:pPr>
      <w:r>
        <w:t>El tipo de investigación se refiere al nivel de profundidad con el que se aborda el objeto de estudio, definiendo el alcance de los resultados que se pretenden obtener. En este sentido, el presente estudio se clasifica como una investigación descriptiva. Según Arias (2012), este tipo de investigación:</w:t>
      </w:r>
    </w:p>
    <w:p w:rsidR="003A4EAC" w:rsidRDefault="003A4EAC" w:rsidP="003A4EAC">
      <w:pPr>
        <w:ind w:firstLine="708"/>
        <w:jc w:val="both"/>
      </w:pPr>
    </w:p>
    <w:p w:rsidR="003A4EAC" w:rsidRDefault="003A4EAC" w:rsidP="003A4EAC">
      <w:pPr>
        <w:ind w:firstLine="708"/>
        <w:jc w:val="both"/>
      </w:pPr>
      <w: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rsidR="003A4EAC" w:rsidRDefault="003A4EAC" w:rsidP="003A4EAC">
      <w:pPr>
        <w:ind w:firstLine="708"/>
        <w:jc w:val="both"/>
      </w:pPr>
      <w:r>
        <w:t xml:space="preserve">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w:t>
      </w:r>
      <w:r>
        <w:lastRenderedPageBreak/>
        <w:t>cabo el registro de estudiantes, la asignación de tutores y el control de documentos, evidenciando las necesidades técnicas y funcionales que justifican el desarrollo de un sistema de gestión automatizado para optimizar dichas tareas dentro de la institución.</w:t>
      </w:r>
    </w:p>
    <w:p w:rsidR="002223A5" w:rsidRDefault="005B6A8D" w:rsidP="005134D8">
      <w:pPr>
        <w:ind w:firstLine="708"/>
        <w:jc w:val="both"/>
      </w:pPr>
      <w:r>
        <w:t>Metodología de Investigación</w:t>
      </w:r>
    </w:p>
    <w:p w:rsidR="00D50A5F" w:rsidRDefault="00D50A5F" w:rsidP="00D50A5F">
      <w:pPr>
        <w:ind w:firstLine="708"/>
        <w:jc w:val="both"/>
      </w:pPr>
      <w:r>
        <w:t>Modalidad de Investigación</w:t>
      </w:r>
    </w:p>
    <w:p w:rsidR="00D50A5F" w:rsidRDefault="00D50A5F" w:rsidP="00D50A5F">
      <w:pPr>
        <w:ind w:firstLine="708"/>
        <w:jc w:val="both"/>
      </w:pPr>
      <w:r>
        <w:t>La modalidad de investigación define el marco operativo y el modelo bajo el cual se desarrolla el estudio. En este sentido, el presente trabajo se categoriza como un “proyecto especial”. Esta modalidad es descrita por Duarte y Ruiz (2014) de la siguiente manera:</w:t>
      </w:r>
    </w:p>
    <w:p w:rsidR="00D50A5F" w:rsidRDefault="00D50A5F" w:rsidP="00D50A5F">
      <w:pPr>
        <w:ind w:firstLine="708"/>
        <w:jc w:val="both"/>
      </w:pPr>
    </w:p>
    <w:p w:rsidR="00D50A5F" w:rsidRDefault="00D50A5F" w:rsidP="00D50A5F">
      <w:pPr>
        <w:ind w:firstLine="708"/>
        <w:jc w:val="both"/>
      </w:pPr>
      <w:r>
        <w:t>“Consiste en la elaboración de una propuesta viable sustentada en un diagnóstico, para satisfacer las necesidades de una determinada situación” (p.123).</w:t>
      </w:r>
    </w:p>
    <w:p w:rsidR="00D50A5F" w:rsidRDefault="00D50A5F" w:rsidP="00D50A5F">
      <w:pPr>
        <w:ind w:firstLine="708"/>
        <w:jc w:val="both"/>
      </w:pPr>
    </w:p>
    <w:p w:rsidR="00D50A5F" w:rsidRDefault="00D50A5F" w:rsidP="00D50A5F">
      <w:pPr>
        <w:ind w:firstLine="708"/>
        <w:jc w:val="both"/>
      </w:pPr>
      <w:r>
        <w:t>Bajo esta perspectiva, el diseño y desarrollo del sistema de gestión de pasantías constituye la respuesta técnica a las carencias detectadas en el diagnóstico previo. Este enfoque se alinea con lo expuesto por Hurtado y Toro (2004), quienes señalan que dicha modalidad:</w:t>
      </w:r>
    </w:p>
    <w:p w:rsidR="00D50A5F" w:rsidRDefault="00D50A5F" w:rsidP="00D50A5F">
      <w:pPr>
        <w:ind w:firstLine="708"/>
        <w:jc w:val="both"/>
      </w:pPr>
    </w:p>
    <w:p w:rsidR="00D50A5F" w:rsidRDefault="00D50A5F" w:rsidP="00D50A5F">
      <w:pPr>
        <w:ind w:firstLine="708"/>
        <w:jc w:val="both"/>
      </w:pPr>
      <w:r>
        <w:t>“Consiste en delimitar el tema y formular el planteamiento cuando la fase de exploración indica que existen ciertos eventos en los que se quiere producir cambios, ya sean por que se pretende mejorar una determinada situación…”.</w:t>
      </w:r>
    </w:p>
    <w:p w:rsidR="00D50A5F" w:rsidRDefault="00D50A5F" w:rsidP="00D50A5F">
      <w:pPr>
        <w:ind w:firstLine="708"/>
        <w:jc w:val="both"/>
      </w:pPr>
    </w:p>
    <w:p w:rsidR="005B6A8D" w:rsidRDefault="00D50A5F" w:rsidP="00D50A5F">
      <w:pPr>
        <w:ind w:firstLine="708"/>
        <w:jc w:val="both"/>
      </w:pPr>
      <w:r>
        <w:t>Por consiguiente, la investigación se orienta a la transformación de los procesos actuales mediante una solución tecnológica. A continuación, se describen los elementos metodológicos que sustentan este proceso, incluyendo la población y muestra, las técnicas e instrumentos de recolección de datos, así como los procedimientos para el análisis de la información.</w:t>
      </w:r>
    </w:p>
    <w:p w:rsidR="00D50A5F" w:rsidRDefault="00D50A5F" w:rsidP="00D50A5F">
      <w:pPr>
        <w:ind w:firstLine="708"/>
        <w:jc w:val="both"/>
      </w:pPr>
    </w:p>
    <w:p w:rsidR="00D50A5F" w:rsidRDefault="00D50A5F" w:rsidP="00D50A5F">
      <w:pPr>
        <w:ind w:firstLine="708"/>
        <w:jc w:val="both"/>
      </w:pPr>
      <w:r>
        <w:t>Población</w:t>
      </w:r>
      <w:r>
        <w:br/>
      </w:r>
      <w:r>
        <w:t xml:space="preserve">En el ámbito investigativo, se denomina población al grupo íntegro de sujetos, componentes u objetos que comparten rasgos particulares y representan el foco de interés de un análisis. Según </w:t>
      </w:r>
      <w:r>
        <w:rPr>
          <w:b/>
          <w:bCs/>
        </w:rPr>
        <w:t>Tamayo y Tamayo (2013)</w:t>
      </w:r>
      <w:r>
        <w:t xml:space="preserve">, la población se define como </w:t>
      </w:r>
      <w:r>
        <w:rPr>
          <w:b/>
          <w:bCs/>
        </w:rPr>
        <w:t>"El conjunto de todos los elementos o individuos que cumplen con determinadas características y que son objeto de estudio en una investigación"</w:t>
      </w:r>
      <w:r>
        <w:t>.</w:t>
      </w:r>
    </w:p>
    <w:p w:rsidR="00D50A5F" w:rsidRDefault="00D50A5F" w:rsidP="00D50A5F">
      <w:pPr>
        <w:ind w:firstLine="708"/>
        <w:jc w:val="both"/>
      </w:pPr>
    </w:p>
    <w:p w:rsidR="0024153D" w:rsidRDefault="00D50A5F" w:rsidP="00D50A5F">
      <w:pPr>
        <w:ind w:firstLine="708"/>
        <w:jc w:val="both"/>
      </w:pPr>
      <w:r>
        <w:t>Muestra</w:t>
      </w:r>
    </w:p>
    <w:p w:rsidR="00C92B9E" w:rsidRDefault="0024153D" w:rsidP="00D50A5F">
      <w:pPr>
        <w:ind w:firstLine="708"/>
        <w:jc w:val="both"/>
      </w:pPr>
      <w:r>
        <w:t xml:space="preserve">En el proceso de investigación, la muestra se entiende como una parte proporcional y significativa de la población, la cual es seleccionada para recolectar datos puntuales. Al respecto, </w:t>
      </w:r>
      <w:r>
        <w:rPr>
          <w:b/>
          <w:bCs/>
        </w:rPr>
        <w:t>Hernández, Fernández y Baptista (2014)</w:t>
      </w:r>
      <w:r>
        <w:t xml:space="preserve"> explican que la muestra es: </w:t>
      </w:r>
      <w:r>
        <w:rPr>
          <w:b/>
          <w:bCs/>
        </w:rPr>
        <w:t>"Un grupo representativo de casos extraídos de una población que será analizado para entender y generalizar las características del conjunto total"</w:t>
      </w:r>
      <w:r>
        <w:t>.</w:t>
      </w:r>
      <w:r w:rsidR="00D50A5F">
        <w:br/>
      </w:r>
    </w:p>
    <w:p w:rsidR="00D50A5F" w:rsidRDefault="0024153D" w:rsidP="00D50A5F">
      <w:pPr>
        <w:ind w:firstLine="708"/>
        <w:jc w:val="both"/>
        <w:rPr>
          <w:b/>
          <w:bCs/>
        </w:rPr>
      </w:pPr>
      <w:proofErr w:type="spellStart"/>
      <w:r>
        <w:lastRenderedPageBreak/>
        <w:t>Tecnicas</w:t>
      </w:r>
      <w:proofErr w:type="spellEnd"/>
      <w:r>
        <w:br/>
      </w:r>
      <w:r>
        <w:t xml:space="preserve">Los procedimientos utilizados para captar la información necesaria en un proceso investigativo se denominan técnicas de recolección. En este sentido, </w:t>
      </w:r>
      <w:r>
        <w:rPr>
          <w:b/>
          <w:bCs/>
        </w:rPr>
        <w:t>Arias (2016)</w:t>
      </w:r>
      <w:r>
        <w:t xml:space="preserve"> sostiene que: </w:t>
      </w:r>
      <w:r>
        <w:rPr>
          <w:b/>
          <w:bCs/>
        </w:rPr>
        <w:t>“Las técnicas de recolección de datos son las distintas formas o maneras de obtener la información. Son ejemplos de técnicas; la observación directa, la encuesta en sus dos modalidades: La entrevista, el análisis documental, análisis de contenido, entre otros.”. (p111).</w:t>
      </w:r>
    </w:p>
    <w:p w:rsidR="005505DC" w:rsidRDefault="005505DC" w:rsidP="00D50A5F">
      <w:pPr>
        <w:ind w:firstLine="708"/>
        <w:jc w:val="both"/>
        <w:rPr>
          <w:b/>
          <w:bCs/>
        </w:rPr>
      </w:pPr>
    </w:p>
    <w:p w:rsidR="005505DC" w:rsidRPr="00D50A5F" w:rsidRDefault="005505DC" w:rsidP="00D50A5F">
      <w:pPr>
        <w:ind w:firstLine="708"/>
        <w:jc w:val="both"/>
      </w:pPr>
      <w:r>
        <w:rPr>
          <w:b/>
          <w:bCs/>
        </w:rPr>
        <w:t>rup</w:t>
      </w:r>
      <w:bookmarkStart w:id="0" w:name="_GoBack"/>
      <w:bookmarkEnd w:id="0"/>
    </w:p>
    <w:sectPr w:rsidR="005505DC" w:rsidRPr="00D50A5F" w:rsidSect="0053728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5BF"/>
    <w:rsid w:val="0021249C"/>
    <w:rsid w:val="002223A5"/>
    <w:rsid w:val="00240EE9"/>
    <w:rsid w:val="0024153D"/>
    <w:rsid w:val="003A4EAC"/>
    <w:rsid w:val="004E45BF"/>
    <w:rsid w:val="005134D8"/>
    <w:rsid w:val="00537280"/>
    <w:rsid w:val="005505DC"/>
    <w:rsid w:val="005B6A8D"/>
    <w:rsid w:val="006B5A72"/>
    <w:rsid w:val="0072650F"/>
    <w:rsid w:val="00AE7B09"/>
    <w:rsid w:val="00B2508C"/>
    <w:rsid w:val="00C92B9E"/>
    <w:rsid w:val="00D50A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6A8D"/>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encialatina.org/index.php/cienciala/article/view/20093" TargetMode="External"/><Relationship Id="rId13" Type="http://schemas.openxmlformats.org/officeDocument/2006/relationships/hyperlink" Target="https://www.mysql.com/" TargetMode="External"/><Relationship Id="rId3" Type="http://schemas.openxmlformats.org/officeDocument/2006/relationships/settings" Target="settings.xml"/><Relationship Id="rId7" Type="http://schemas.openxmlformats.org/officeDocument/2006/relationships/hyperlink" Target="https://repositorio.upea.bo/jspui/handle/123456789/76" TargetMode="External"/><Relationship Id="rId12" Type="http://schemas.openxmlformats.org/officeDocument/2006/relationships/hyperlink" Target="https://www.sqlalchemy.or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positorio.upea.bo/jspui/handle/123456789/76?utm_source=chatgpt.com" TargetMode="External"/><Relationship Id="rId11" Type="http://schemas.openxmlformats.org/officeDocument/2006/relationships/hyperlink" Target="https://bibdigital.epn.edu.ec/handle/15000/22190" TargetMode="External"/><Relationship Id="rId5" Type="http://schemas.openxmlformats.org/officeDocument/2006/relationships/hyperlink" Target="https://www.ijcaonline.org/archives/volume186/number1/33036-2024923335/" TargetMode="External"/><Relationship Id="rId15" Type="http://schemas.openxmlformats.org/officeDocument/2006/relationships/hyperlink" Target="https://www.apachefriends.org/" TargetMode="External"/><Relationship Id="rId10" Type="http://schemas.openxmlformats.org/officeDocument/2006/relationships/hyperlink" Target="http://opac.unellez.edu.ve/doc_num.php?explnum_id=3695" TargetMode="External"/><Relationship Id="rId4" Type="http://schemas.openxmlformats.org/officeDocument/2006/relationships/webSettings" Target="webSettings.xml"/><Relationship Id="rId9" Type="http://schemas.openxmlformats.org/officeDocument/2006/relationships/hyperlink" Target="https://revistaethos.uniojeda.edu.ve/index.php/RevistaEthos/article/view/81" TargetMode="External"/><Relationship Id="rId14" Type="http://schemas.openxmlformats.org/officeDocument/2006/relationships/hyperlink" Target="https://doc.qt.io/qtforpyth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21</Pages>
  <Words>7673</Words>
  <Characters>42202</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cp:revision>
  <dcterms:created xsi:type="dcterms:W3CDTF">2026-01-21T14:12:00Z</dcterms:created>
  <dcterms:modified xsi:type="dcterms:W3CDTF">2026-01-21T20:32:00Z</dcterms:modified>
</cp:coreProperties>
</file>