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599D" w14:textId="265BF2DA" w:rsidR="002677F7" w:rsidRPr="00BE0316" w:rsidRDefault="002677F7" w:rsidP="00BE0316">
      <w:pPr>
        <w:spacing w:line="480" w:lineRule="auto"/>
        <w:jc w:val="center"/>
        <w:rPr>
          <w:sz w:val="24"/>
          <w:szCs w:val="24"/>
        </w:rPr>
      </w:pPr>
      <w:r w:rsidRPr="00BE0316">
        <w:rPr>
          <w:sz w:val="24"/>
          <w:szCs w:val="24"/>
        </w:rPr>
        <w:t>Wolves in Yellowstone National Park</w:t>
      </w:r>
    </w:p>
    <w:p w14:paraId="625F7A50" w14:textId="636726DC" w:rsidR="00124CFF" w:rsidRPr="00BE0316" w:rsidRDefault="002677F7" w:rsidP="00BE0316">
      <w:pPr>
        <w:spacing w:line="480" w:lineRule="auto"/>
        <w:rPr>
          <w:rFonts w:ascii="Calibri" w:eastAsia="Times New Roman" w:hAnsi="Calibri" w:cs="Calibri"/>
          <w:sz w:val="24"/>
          <w:szCs w:val="24"/>
        </w:rPr>
      </w:pPr>
      <w:r w:rsidRPr="00BE0316">
        <w:rPr>
          <w:rFonts w:ascii="Calibri" w:hAnsi="Calibri" w:cs="Calibri"/>
          <w:sz w:val="24"/>
          <w:szCs w:val="24"/>
        </w:rPr>
        <w:t xml:space="preserve">Keystone species are species who impact more organisms, in either a positive or negative way, than many other species </w:t>
      </w:r>
      <w:r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(Mouquet, Gravel, </w:t>
      </w:r>
      <w:proofErr w:type="spellStart"/>
      <w:r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Massol</w:t>
      </w:r>
      <w:proofErr w:type="spellEnd"/>
      <w:r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, &amp; Calcagno, 2012)</w:t>
      </w:r>
      <w:r w:rsidRPr="00BE0316">
        <w:rPr>
          <w:rFonts w:ascii="Calibri" w:hAnsi="Calibri" w:cs="Calibri"/>
          <w:sz w:val="24"/>
          <w:szCs w:val="24"/>
        </w:rPr>
        <w:t xml:space="preserve">. Because of their impact, they are very important for their respective communities </w:t>
      </w:r>
      <w:r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(Mouquet, Gravel, </w:t>
      </w:r>
      <w:proofErr w:type="spellStart"/>
      <w:r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Massol</w:t>
      </w:r>
      <w:proofErr w:type="spellEnd"/>
      <w:r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, &amp; Calcagno, 2012)</w:t>
      </w:r>
      <w:r w:rsidRPr="00BE0316">
        <w:rPr>
          <w:rFonts w:ascii="Calibri" w:hAnsi="Calibri" w:cs="Calibri"/>
          <w:sz w:val="24"/>
          <w:szCs w:val="24"/>
        </w:rPr>
        <w:t xml:space="preserve">. One example of such species are the wolves in Yellowstone National Park. </w:t>
      </w:r>
      <w:r w:rsidR="00BF072B" w:rsidRPr="00BE0316">
        <w:rPr>
          <w:rFonts w:ascii="Calibri" w:hAnsi="Calibri" w:cs="Calibri"/>
          <w:sz w:val="24"/>
          <w:szCs w:val="24"/>
        </w:rPr>
        <w:t>Wolves were a predator to elk and so wherever their presence was greater, elk would travel to less (</w:t>
      </w:r>
      <w:r w:rsidR="00BF072B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Fortin, Beyer, Boyce, Smith, Duchesne, &amp; Mao</w:t>
      </w:r>
      <w:r w:rsidR="00BF072B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 2005</w:t>
      </w:r>
      <w:r w:rsidR="00BF072B" w:rsidRPr="00BE0316">
        <w:rPr>
          <w:rFonts w:ascii="Calibri" w:hAnsi="Calibri" w:cs="Calibri"/>
          <w:sz w:val="24"/>
          <w:szCs w:val="24"/>
        </w:rPr>
        <w:t xml:space="preserve">). However, due to hunting, the wolf population disappeared which allowed the elk to roam freely </w:t>
      </w:r>
      <w:r w:rsidR="00BF072B" w:rsidRPr="00BE0316">
        <w:rPr>
          <w:rFonts w:ascii="Calibri" w:hAnsi="Calibri" w:cs="Calibri"/>
          <w:sz w:val="24"/>
          <w:szCs w:val="24"/>
        </w:rPr>
        <w:t>(</w:t>
      </w:r>
      <w:r w:rsidR="00BF072B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Fortin, Beyer, Boyce, Smith, Duchesne, &amp; Mao</w:t>
      </w:r>
      <w:r w:rsidR="00BF072B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 2005</w:t>
      </w:r>
      <w:r w:rsidR="00BF072B" w:rsidRPr="00BE0316">
        <w:rPr>
          <w:rFonts w:ascii="Calibri" w:hAnsi="Calibri" w:cs="Calibri"/>
          <w:sz w:val="24"/>
          <w:szCs w:val="24"/>
        </w:rPr>
        <w:t>).</w:t>
      </w:r>
      <w:r w:rsidR="00BF072B" w:rsidRPr="00BE0316">
        <w:rPr>
          <w:rFonts w:ascii="Calibri" w:hAnsi="Calibri" w:cs="Calibri"/>
          <w:sz w:val="24"/>
          <w:szCs w:val="24"/>
        </w:rPr>
        <w:t xml:space="preserve"> The elk now unrestricted, </w:t>
      </w:r>
      <w:r w:rsidR="007323DC" w:rsidRPr="00BE0316">
        <w:rPr>
          <w:rFonts w:ascii="Calibri" w:hAnsi="Calibri" w:cs="Calibri"/>
          <w:sz w:val="24"/>
          <w:szCs w:val="24"/>
        </w:rPr>
        <w:t xml:space="preserve">were able to eat greater amounts in one area as opposed to grazing over a large area to avoid wolves </w:t>
      </w:r>
      <w:r w:rsidR="007323DC" w:rsidRPr="00BE0316">
        <w:rPr>
          <w:rFonts w:ascii="Calibri" w:hAnsi="Calibri" w:cs="Calibri"/>
          <w:sz w:val="24"/>
          <w:szCs w:val="24"/>
        </w:rPr>
        <w:t>(</w:t>
      </w:r>
      <w:r w:rsidR="007323DC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Fortin, Beyer, Boyce, Smith, Duchesne, &amp; Mao</w:t>
      </w:r>
      <w:r w:rsidR="007323DC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 2005</w:t>
      </w:r>
      <w:r w:rsidR="007323DC" w:rsidRPr="00BE0316">
        <w:rPr>
          <w:rFonts w:ascii="Calibri" w:hAnsi="Calibri" w:cs="Calibri"/>
          <w:sz w:val="24"/>
          <w:szCs w:val="24"/>
        </w:rPr>
        <w:t>).</w:t>
      </w:r>
      <w:r w:rsidR="007323DC" w:rsidRPr="00BE0316">
        <w:rPr>
          <w:rFonts w:ascii="Calibri" w:hAnsi="Calibri" w:cs="Calibri"/>
          <w:sz w:val="24"/>
          <w:szCs w:val="24"/>
        </w:rPr>
        <w:t xml:space="preserve"> This directly harmed the population of aspen trees and cottonwood trees which in turn harmed other species, like beavers and bison, who used those trees </w:t>
      </w:r>
      <w:r w:rsidR="007323DC" w:rsidRPr="00BE0316">
        <w:rPr>
          <w:rFonts w:ascii="Calibri" w:hAnsi="Calibri" w:cs="Calibri"/>
          <w:sz w:val="24"/>
          <w:szCs w:val="24"/>
        </w:rPr>
        <w:t>(</w:t>
      </w:r>
      <w:r w:rsidR="007323DC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Fortin, Beyer, Boyce, Smith, Duchesne, &amp; Mao</w:t>
      </w:r>
      <w:r w:rsidR="007323DC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 2005</w:t>
      </w:r>
      <w:r w:rsidR="007323DC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 xml:space="preserve">; </w:t>
      </w:r>
      <w:r w:rsidR="007323DC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 xml:space="preserve">Ripple, &amp; </w:t>
      </w:r>
      <w:proofErr w:type="spellStart"/>
      <w:r w:rsidR="007323DC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Beschta</w:t>
      </w:r>
      <w:proofErr w:type="spellEnd"/>
      <w:r w:rsidR="007323DC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 2012</w:t>
      </w:r>
      <w:r w:rsidR="007323DC" w:rsidRPr="00BE0316">
        <w:rPr>
          <w:rFonts w:ascii="Calibri" w:hAnsi="Calibri" w:cs="Calibri"/>
          <w:sz w:val="24"/>
          <w:szCs w:val="24"/>
        </w:rPr>
        <w:t>).</w:t>
      </w:r>
      <w:r w:rsidR="007323DC" w:rsidRPr="00BE0316">
        <w:rPr>
          <w:rFonts w:ascii="Calibri" w:hAnsi="Calibri" w:cs="Calibri"/>
          <w:sz w:val="24"/>
          <w:szCs w:val="24"/>
        </w:rPr>
        <w:t xml:space="preserve"> The reintroduction of wolves into the Yellowstone National Park ecosystem allowed for </w:t>
      </w:r>
      <w:r w:rsidR="00BE0316" w:rsidRPr="00BE0316">
        <w:rPr>
          <w:rFonts w:ascii="Calibri" w:hAnsi="Calibri" w:cs="Calibri"/>
          <w:sz w:val="24"/>
          <w:szCs w:val="24"/>
        </w:rPr>
        <w:t>these effects to be reversed as the wolves hunted the elk again causing their behavior to revert to grazing over large areas to avoid the wolves again (</w:t>
      </w:r>
      <w:r w:rsidR="00BE0316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 xml:space="preserve">Ripple, &amp; </w:t>
      </w:r>
      <w:proofErr w:type="spellStart"/>
      <w:r w:rsidR="00BE0316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Beschta</w:t>
      </w:r>
      <w:proofErr w:type="spellEnd"/>
      <w:r w:rsidR="00BE0316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 2012</w:t>
      </w:r>
      <w:r w:rsidR="00BE0316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). This allowed for the aspen and cottonwood tree populations to rise along with beaver and bison populations (</w:t>
      </w:r>
      <w:r w:rsidR="00BE0316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 xml:space="preserve">Ripple, &amp; </w:t>
      </w:r>
      <w:proofErr w:type="spellStart"/>
      <w:r w:rsidR="00BE0316"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Beschta</w:t>
      </w:r>
      <w:proofErr w:type="spellEnd"/>
      <w:r w:rsidR="00BE0316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 2012</w:t>
      </w:r>
      <w:r w:rsidR="00BE0316" w:rsidRP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).</w:t>
      </w:r>
    </w:p>
    <w:p w14:paraId="122778F7" w14:textId="0F5866A9" w:rsidR="00423EB8" w:rsidRPr="00BE0316" w:rsidRDefault="00423EB8" w:rsidP="00BE0316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D672D72" w14:textId="171D5728" w:rsidR="00423EB8" w:rsidRPr="00BE0316" w:rsidRDefault="00423EB8" w:rsidP="00BE0316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3438DAF" w14:textId="074AA6A8" w:rsidR="004A7BEB" w:rsidRPr="00BE0316" w:rsidRDefault="004A7BEB" w:rsidP="00BE0316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55E8419D" w14:textId="77777777" w:rsidR="00BE0316" w:rsidRPr="00BE0316" w:rsidRDefault="00BE0316" w:rsidP="00BE0316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463714A" w14:textId="5F5678CD" w:rsidR="004A7BEB" w:rsidRPr="00BE0316" w:rsidRDefault="004A7BEB" w:rsidP="00BE0316">
      <w:pPr>
        <w:spacing w:line="480" w:lineRule="auto"/>
        <w:rPr>
          <w:rFonts w:ascii="Calibri" w:hAnsi="Calibri" w:cs="Calibri"/>
          <w:sz w:val="24"/>
          <w:szCs w:val="24"/>
        </w:rPr>
      </w:pPr>
      <w:r w:rsidRPr="00BE0316">
        <w:rPr>
          <w:rFonts w:ascii="Calibri" w:hAnsi="Calibri" w:cs="Calibri"/>
          <w:sz w:val="24"/>
          <w:szCs w:val="24"/>
        </w:rPr>
        <w:lastRenderedPageBreak/>
        <w:t>References</w:t>
      </w:r>
    </w:p>
    <w:p w14:paraId="48988510" w14:textId="77777777" w:rsidR="00BE0316" w:rsidRDefault="004A7BEB" w:rsidP="00BE0316">
      <w:pPr>
        <w:spacing w:after="0" w:line="480" w:lineRule="auto"/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</w:pPr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 xml:space="preserve">Fortin, D., Beyer, H. L., Boyce, M. S., Smith, D. W., Duchesne, T., &amp; Mao, J. S. (2005). Wolves </w:t>
      </w:r>
    </w:p>
    <w:p w14:paraId="719BAAD9" w14:textId="4A2A01EC" w:rsidR="004A7BEB" w:rsidRPr="00BE0316" w:rsidRDefault="004A7BEB" w:rsidP="00BE0316">
      <w:pPr>
        <w:spacing w:after="0" w:line="480" w:lineRule="auto"/>
        <w:ind w:left="720"/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</w:pPr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Influence Elk Movements: Behavior Shapes a Trophic Cascade in Yellowstone National Park. </w:t>
      </w:r>
      <w:r w:rsidRPr="004A7BEB">
        <w:rPr>
          <w:rFonts w:ascii="Calibri" w:eastAsia="Times New Roman" w:hAnsi="Calibri" w:cs="Calibri"/>
          <w:i/>
          <w:iCs/>
          <w:color w:val="333333"/>
          <w:sz w:val="24"/>
          <w:szCs w:val="24"/>
          <w:bdr w:val="none" w:sz="0" w:space="0" w:color="auto" w:frame="1"/>
        </w:rPr>
        <w:t>Ecology</w:t>
      </w:r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 </w:t>
      </w:r>
      <w:r w:rsidRPr="004A7BEB">
        <w:rPr>
          <w:rFonts w:ascii="Calibri" w:eastAsia="Times New Roman" w:hAnsi="Calibri" w:cs="Calibri"/>
          <w:i/>
          <w:iCs/>
          <w:color w:val="333333"/>
          <w:sz w:val="24"/>
          <w:szCs w:val="24"/>
          <w:bdr w:val="none" w:sz="0" w:space="0" w:color="auto" w:frame="1"/>
        </w:rPr>
        <w:t>86</w:t>
      </w:r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(5), 1320.</w:t>
      </w:r>
    </w:p>
    <w:p w14:paraId="090F1BEE" w14:textId="77777777" w:rsidR="00BE0316" w:rsidRDefault="00D71C4A" w:rsidP="00BE0316">
      <w:pPr>
        <w:spacing w:after="0" w:line="480" w:lineRule="auto"/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</w:pPr>
      <w:r w:rsidRPr="00D71C4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Mouquet, N., Gravel, D., </w:t>
      </w:r>
      <w:proofErr w:type="spellStart"/>
      <w:r w:rsidRPr="00D71C4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Massol</w:t>
      </w:r>
      <w:proofErr w:type="spellEnd"/>
      <w:r w:rsidRPr="00D71C4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 xml:space="preserve">, F., &amp; Calcagno, V. (2012, October 15). Extending the concept </w:t>
      </w:r>
    </w:p>
    <w:p w14:paraId="69393ED7" w14:textId="1E3597D9" w:rsidR="00D71C4A" w:rsidRPr="004A7BEB" w:rsidRDefault="00D71C4A" w:rsidP="00BE0316">
      <w:pPr>
        <w:spacing w:after="0" w:line="48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D71C4A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of keystone species to communities and ecosystems. Retrieved from https://www.ncbi.nlm.nih.gov/pubmed/23062191</w:t>
      </w:r>
    </w:p>
    <w:p w14:paraId="0A089AA2" w14:textId="77777777" w:rsidR="00BE0316" w:rsidRDefault="004A7BEB" w:rsidP="00BE0316">
      <w:pPr>
        <w:spacing w:after="0" w:line="480" w:lineRule="auto"/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</w:pPr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 xml:space="preserve">Ripple, W. J., &amp; </w:t>
      </w:r>
      <w:proofErr w:type="spellStart"/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Beschta</w:t>
      </w:r>
      <w:proofErr w:type="spellEnd"/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 R. L. (2012). Trophic cascades in Yellowstone: The first 15 years after</w:t>
      </w:r>
      <w:r w:rsidR="00BE0316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 xml:space="preserve"> </w:t>
      </w:r>
    </w:p>
    <w:p w14:paraId="202EFEB5" w14:textId="63F35B76" w:rsidR="004A7BEB" w:rsidRPr="004A7BEB" w:rsidRDefault="004A7BEB" w:rsidP="00BE0316">
      <w:pPr>
        <w:spacing w:after="0" w:line="48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wolf reintroduction. </w:t>
      </w:r>
      <w:r w:rsidRPr="004A7BEB">
        <w:rPr>
          <w:rFonts w:ascii="Calibri" w:eastAsia="Times New Roman" w:hAnsi="Calibri" w:cs="Calibri"/>
          <w:i/>
          <w:iCs/>
          <w:color w:val="333333"/>
          <w:sz w:val="24"/>
          <w:szCs w:val="24"/>
          <w:bdr w:val="none" w:sz="0" w:space="0" w:color="auto" w:frame="1"/>
        </w:rPr>
        <w:t>Biological Conservation</w:t>
      </w:r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, </w:t>
      </w:r>
      <w:r w:rsidRPr="004A7BEB">
        <w:rPr>
          <w:rFonts w:ascii="Calibri" w:eastAsia="Times New Roman" w:hAnsi="Calibri" w:cs="Calibri"/>
          <w:i/>
          <w:iCs/>
          <w:color w:val="333333"/>
          <w:sz w:val="24"/>
          <w:szCs w:val="24"/>
          <w:bdr w:val="none" w:sz="0" w:space="0" w:color="auto" w:frame="1"/>
        </w:rPr>
        <w:t>145</w:t>
      </w:r>
      <w:r w:rsidRPr="004A7BEB">
        <w:rPr>
          <w:rFonts w:ascii="Calibri" w:eastAsia="Times New Roman" w:hAnsi="Calibri" w:cs="Calibri"/>
          <w:color w:val="333333"/>
          <w:sz w:val="24"/>
          <w:szCs w:val="24"/>
          <w:shd w:val="clear" w:color="auto" w:fill="F5F5F5"/>
        </w:rPr>
        <w:t>(1), 205–213. https://doi-org.ezproxy.libraries.wright.edu/10.1016/j.biocon.2011.11.005</w:t>
      </w:r>
    </w:p>
    <w:p w14:paraId="3096B7BB" w14:textId="77777777" w:rsidR="004A7BEB" w:rsidRPr="00BE0316" w:rsidRDefault="004A7BEB" w:rsidP="00BE0316">
      <w:pPr>
        <w:spacing w:line="480" w:lineRule="auto"/>
        <w:rPr>
          <w:rFonts w:ascii="Calibri" w:hAnsi="Calibri" w:cs="Calibri"/>
          <w:sz w:val="24"/>
          <w:szCs w:val="24"/>
        </w:rPr>
      </w:pPr>
    </w:p>
    <w:sectPr w:rsidR="004A7BEB" w:rsidRPr="00BE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DE"/>
    <w:rsid w:val="00124CFF"/>
    <w:rsid w:val="002677F7"/>
    <w:rsid w:val="00423EB8"/>
    <w:rsid w:val="004A7BEB"/>
    <w:rsid w:val="005423CC"/>
    <w:rsid w:val="00676D55"/>
    <w:rsid w:val="0072393A"/>
    <w:rsid w:val="007250DE"/>
    <w:rsid w:val="007323DC"/>
    <w:rsid w:val="00BE0316"/>
    <w:rsid w:val="00BF072B"/>
    <w:rsid w:val="00D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35A5"/>
  <w15:chartTrackingRefBased/>
  <w15:docId w15:val="{E9A6D27A-3CA1-4972-8ACE-78EBFBE6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Yeoh, Alex</cp:lastModifiedBy>
  <cp:revision>5</cp:revision>
  <dcterms:created xsi:type="dcterms:W3CDTF">2020-03-13T13:36:00Z</dcterms:created>
  <dcterms:modified xsi:type="dcterms:W3CDTF">2020-04-07T03:33:00Z</dcterms:modified>
</cp:coreProperties>
</file>