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p>
    <w:p>
      <w:pPr>
        <w:spacing w:before="0" w:after="0"/>
        <w:jc w:val="center"/>
      </w:pPr>
    </w:p>
    <w:p>
      <w:pPr>
        <w:spacing w:before="0" w:after="0"/>
        <w:jc w:val="center"/>
      </w:pPr>
    </w:p>
    <w:p>
      <w:pPr>
        <w:spacing w:before="0" w:after="0"/>
        <w:jc w:val="center"/>
      </w:pPr>
      <w:r>
        <w:rPr>
          <w:rFonts w:ascii="Times New Roman" w:hAnsi="Times New Roman"/>
          <w:b/>
          <w:sz w:val="24"/>
        </w:rPr>
        <w:t>Proyecto de Formulación: Plataforma Global de Trazabilidad Circular con Blockchain para The Coca-Cola Company</w:t>
      </w:r>
    </w:p>
    <w:p>
      <w:pPr>
        <w:jc w:val="center"/>
      </w:pPr>
      <w:r>
        <w:rPr>
          <w:sz w:val="24"/>
        </w:rPr>
      </w:r>
    </w:p>
    <w:p>
      <w:pPr>
        <w:spacing w:before="0" w:after="0"/>
        <w:jc w:val="center"/>
      </w:pPr>
      <w:r>
        <w:rPr>
          <w:rFonts w:ascii="Times New Roman" w:hAnsi="Times New Roman"/>
          <w:b w:val="0"/>
          <w:sz w:val="24"/>
        </w:rPr>
        <w:t>Grupo de Trabajo</w:t>
      </w:r>
    </w:p>
    <w:p>
      <w:pPr>
        <w:spacing w:before="0" w:after="0"/>
        <w:jc w:val="center"/>
      </w:pPr>
      <w:r>
        <w:rPr>
          <w:rFonts w:ascii="Times New Roman" w:hAnsi="Times New Roman"/>
          <w:b w:val="0"/>
          <w:sz w:val="24"/>
        </w:rPr>
        <w:t>Universidad Hispanoamericana</w:t>
      </w:r>
    </w:p>
    <w:p>
      <w:pPr>
        <w:spacing w:before="0" w:after="0"/>
        <w:jc w:val="center"/>
      </w:pPr>
      <w:r>
        <w:rPr>
          <w:rFonts w:ascii="Times New Roman" w:hAnsi="Times New Roman"/>
          <w:b w:val="0"/>
          <w:sz w:val="24"/>
        </w:rPr>
        <w:t>Técnicas de Formulación de Proyectos - 8° Cuatrimestre</w:t>
      </w:r>
    </w:p>
    <w:p>
      <w:pPr>
        <w:spacing w:before="0" w:after="0"/>
        <w:jc w:val="center"/>
      </w:pPr>
      <w:r>
        <w:rPr>
          <w:rFonts w:ascii="Times New Roman" w:hAnsi="Times New Roman"/>
          <w:b w:val="0"/>
          <w:sz w:val="24"/>
        </w:rPr>
        <w:t>Prof. [Nombre del Instructor]</w:t>
      </w:r>
    </w:p>
    <w:p>
      <w:pPr>
        <w:spacing w:before="0" w:after="0"/>
        <w:jc w:val="center"/>
      </w:pPr>
      <w:r>
        <w:rPr>
          <w:rFonts w:ascii="Times New Roman" w:hAnsi="Times New Roman"/>
          <w:b w:val="0"/>
          <w:sz w:val="24"/>
        </w:rPr>
        <w:t>2025</w:t>
      </w:r>
    </w:p>
    <w:p>
      <w:r>
        <w:br w:type="page"/>
      </w:r>
    </w:p>
    <w:p>
      <w:pPr>
        <w:spacing w:before="0" w:after="240"/>
        <w:ind w:firstLine="0"/>
        <w:jc w:val="center"/>
      </w:pPr>
      <w:r>
        <w:rPr>
          <w:rFonts w:ascii="Times New Roman" w:hAnsi="Times New Roman"/>
          <w:b/>
          <w:sz w:val="24"/>
        </w:rPr>
        <w:t>Índice</w:t>
      </w:r>
    </w:p>
    <w:p>
      <w:pPr>
        <w:spacing w:before="0" w:after="0"/>
        <w:ind w:firstLine="0"/>
      </w:pPr>
      <w:r>
        <w:fldChar w:fldCharType="begin"/>
      </w:r>
      <w:r>
        <w:instrText xml:space="preserve">TOC \o "1-3" \h \z \u</w:instrText>
      </w:r>
      <w:r>
        <w:fldChar w:fldCharType="separate"/>
      </w:r>
      <w:r>
        <w:rPr>
          <w:rFonts w:ascii="Times New Roman" w:hAnsi="Times New Roman"/>
          <w:i/>
          <w:color w:val="808080"/>
          <w:sz w:val="24"/>
        </w:rPr>
        <w:t>[Actualice el índice con clic derecho &gt; Actualizar campo]</w:t>
      </w:r>
      <w:r>
        <w:fldChar w:fldCharType="end"/>
      </w:r>
    </w:p>
    <w:p>
      <w:r>
        <w:br w:type="page"/>
      </w:r>
    </w:p>
    <w:p>
      <w:pPr>
        <w:pStyle w:val="Heading1"/>
        <w:spacing w:lineRule="auto" w:line="360" w:before="0" w:after="0"/>
        <w:ind w:firstLine="0"/>
        <w:keepNext/>
      </w:pPr>
      <w:r>
        <w:rPr>
          <w:rFonts w:ascii="Times New Roman" w:hAnsi="Times New Roman"/>
          <w:sz w:val="24"/>
        </w:rPr>
        <w:t>Entregable 1: Alineamiento Estratégico, Análisis Externo e Interno</w:t>
      </w:r>
    </w:p>
    <w:p>
      <w:pPr>
        <w:pStyle w:val="Heading2"/>
        <w:spacing w:lineRule="auto" w:line="360" w:before="0" w:after="0"/>
        <w:ind w:firstLine="0"/>
        <w:keepNext/>
      </w:pPr>
      <w:r>
        <w:rPr>
          <w:rFonts w:ascii="Times New Roman" w:hAnsi="Times New Roman"/>
          <w:sz w:val="24"/>
        </w:rPr>
        <w:t>Descripción de la Empresa</w:t>
      </w:r>
    </w:p>
    <w:p>
      <w:pPr>
        <w:spacing w:lineRule="auto" w:line="360" w:before="0" w:after="0"/>
        <w:ind w:firstLine="720"/>
      </w:pPr>
      <w:r>
        <w:rPr>
          <w:rFonts w:ascii="Times New Roman" w:hAnsi="Times New Roman"/>
          <w:sz w:val="24"/>
        </w:rPr>
        <w:t>The Coca-Cola Company es una corporación multinacional estadounidense fundada en 1892, con sede en Atlanta, Georgia. Es la compañía de bebidas no alcohólicas más grande del mundo, con presencia en más de 200 países y un portafolio de más de 500 marcas. Sus productos incluyen refrescos carbonatados, aguas, jugos, tés, cafés y bebidas deportivas. En 2024, la empresa reportó ingresos por $47,060 millones de dólares, demostrando su solidez financiera y liderazgo global en la industria de bebidas.</w:t>
      </w:r>
    </w:p>
    <w:p>
      <w:pPr>
        <w:pStyle w:val="Heading2"/>
        <w:spacing w:lineRule="auto" w:line="360" w:before="0" w:after="0"/>
        <w:ind w:firstLine="0"/>
        <w:keepNext/>
      </w:pPr>
      <w:r>
        <w:rPr>
          <w:rFonts w:ascii="Times New Roman" w:hAnsi="Times New Roman"/>
          <w:sz w:val="24"/>
        </w:rPr>
        <w:t>Misión Actual</w:t>
      </w:r>
    </w:p>
    <w:p>
      <w:pPr>
        <w:spacing w:lineRule="auto" w:line="360" w:before="0" w:after="0"/>
        <w:ind w:firstLine="720"/>
      </w:pPr>
      <w:r>
        <w:rPr>
          <w:rFonts w:ascii="Times New Roman" w:hAnsi="Times New Roman"/>
          <w:sz w:val="24"/>
        </w:rPr>
        <w:t>La misión de The Coca-Cola Company es: 'Refrescar al mundo. Inspirar momentos de optimismo y felicidad. Crear valor y marcar la diferencia.'</w:t>
      </w:r>
    </w:p>
    <w:p>
      <w:pPr>
        <w:pStyle w:val="Heading3"/>
        <w:spacing w:lineRule="auto" w:line="360" w:before="0" w:after="0"/>
        <w:ind w:firstLine="0"/>
        <w:keepNext/>
      </w:pPr>
      <w:r>
        <w:rPr>
          <w:rFonts w:ascii="Times New Roman" w:hAnsi="Times New Roman"/>
          <w:sz w:val="24"/>
        </w:rPr>
        <w:t>Alineamiento con la Misión</w:t>
      </w:r>
    </w:p>
    <w:p>
      <w:pPr>
        <w:spacing w:lineRule="auto" w:line="360" w:before="0" w:after="0"/>
        <w:ind w:firstLine="720"/>
      </w:pPr>
      <w:r>
        <w:rPr>
          <w:rFonts w:ascii="Times New Roman" w:hAnsi="Times New Roman"/>
          <w:sz w:val="24"/>
        </w:rPr>
        <w:t>Coca-Cola alinea sus operaciones con su misión a través de: (a) innovación constante en su portafolio de productos, lanzando más de 50 nuevos productos en 2024; (b) campañas de marketing emocional como 'Open Happiness' y 'Comparte una Coca-Cola'; (c) iniciativas de responsabilidad social corporativa como 'World Without Waste' y programas de empoderamiento comunitario.</w:t>
      </w:r>
    </w:p>
    <w:p>
      <w:pPr>
        <w:pStyle w:val="Heading3"/>
        <w:spacing w:lineRule="auto" w:line="360" w:before="0" w:after="0"/>
        <w:ind w:firstLine="0"/>
        <w:keepNext/>
      </w:pPr>
      <w:r>
        <w:rPr>
          <w:rFonts w:ascii="Times New Roman" w:hAnsi="Times New Roman"/>
          <w:sz w:val="24"/>
        </w:rPr>
        <w:t>Propuesta de Mejora</w:t>
      </w:r>
    </w:p>
    <w:p>
      <w:pPr>
        <w:spacing w:lineRule="auto" w:line="360" w:before="0" w:after="0"/>
        <w:ind w:firstLine="720"/>
      </w:pPr>
      <w:r>
        <w:rPr>
          <w:rFonts w:ascii="Times New Roman" w:hAnsi="Times New Roman"/>
          <w:sz w:val="24"/>
        </w:rPr>
        <w:t>Se propone: 'Refrescar al mundo de manera sostenible. Inspirar momentos de optimismo y bienestar. Crear valor compartido y marcar la diferencia positiva en el planeta y las personas.'</w:t>
      </w:r>
    </w:p>
    <w:p>
      <w:pPr>
        <w:pStyle w:val="Heading2"/>
        <w:spacing w:lineRule="auto" w:line="360" w:before="0" w:after="0"/>
        <w:ind w:firstLine="0"/>
        <w:keepNext/>
      </w:pPr>
      <w:r>
        <w:rPr>
          <w:rFonts w:ascii="Times New Roman" w:hAnsi="Times New Roman"/>
          <w:sz w:val="24"/>
        </w:rPr>
        <w:t>Visión Actual</w:t>
      </w:r>
    </w:p>
    <w:p>
      <w:pPr>
        <w:spacing w:lineRule="auto" w:line="360" w:before="0" w:after="0"/>
        <w:ind w:firstLine="720"/>
      </w:pPr>
      <w:r>
        <w:rPr>
          <w:rFonts w:ascii="Times New Roman" w:hAnsi="Times New Roman"/>
          <w:sz w:val="24"/>
        </w:rPr>
        <w:t>La visión de Coca-Cola es: 'Crear las marcas y la selección de bebidas que la gente ama y quiere, para refrescarlos en cuerpo y espíritu. Ser una empresa total de bebidas, inspirada por nuestro propósito, que impulsa el crecimiento sostenible y la creación de valor.'</w:t>
      </w:r>
    </w:p>
    <w:p>
      <w:pPr>
        <w:pStyle w:val="Heading3"/>
        <w:spacing w:lineRule="auto" w:line="360" w:before="0" w:after="0"/>
        <w:ind w:firstLine="0"/>
        <w:keepNext/>
      </w:pPr>
      <w:r>
        <w:rPr>
          <w:rFonts w:ascii="Times New Roman" w:hAnsi="Times New Roman"/>
          <w:sz w:val="24"/>
        </w:rPr>
        <w:t>Alineamiento con la Visión</w:t>
      </w:r>
    </w:p>
    <w:p>
      <w:pPr>
        <w:spacing w:lineRule="auto" w:line="360" w:before="0" w:after="0"/>
        <w:ind w:firstLine="720"/>
      </w:pPr>
      <w:r>
        <w:rPr>
          <w:rFonts w:ascii="Times New Roman" w:hAnsi="Times New Roman"/>
          <w:sz w:val="24"/>
        </w:rPr>
        <w:t>La empresa alinea sus estrategias mediante: (a) expansión y diversificación hacia bebidas saludables; (b) inversión en tecnología e innovación digital; (c) compromiso con el crecimiento sostenible (envases 100% reciclables para 2025, reducción de huella de carbono en 25% para 2030).</w:t>
      </w:r>
    </w:p>
    <w:p>
      <w:pPr>
        <w:pStyle w:val="Heading3"/>
        <w:spacing w:lineRule="auto" w:line="360" w:before="0" w:after="0"/>
        <w:ind w:firstLine="0"/>
        <w:keepNext/>
      </w:pPr>
      <w:r>
        <w:rPr>
          <w:rFonts w:ascii="Times New Roman" w:hAnsi="Times New Roman"/>
          <w:sz w:val="24"/>
        </w:rPr>
        <w:t>Propuesta de Mejora</w:t>
      </w:r>
    </w:p>
    <w:p>
      <w:pPr>
        <w:spacing w:lineRule="auto" w:line="360" w:before="0" w:after="0"/>
        <w:ind w:firstLine="720"/>
      </w:pPr>
      <w:r>
        <w:rPr>
          <w:rFonts w:ascii="Times New Roman" w:hAnsi="Times New Roman"/>
          <w:sz w:val="24"/>
        </w:rPr>
        <w:t>Se recomienda: 'Ser la empresa líder mundial de bebidas, impulsada por la innovación digital y la sostenibilidad circular, que transforma la industria hacia un futuro donde cada envase tiene una segunda vida y cada producto contribuye al bienestar de las personas y el planeta.'</w:t>
      </w:r>
    </w:p>
    <w:p>
      <w:pPr>
        <w:pStyle w:val="Heading2"/>
        <w:spacing w:lineRule="auto" w:line="360" w:before="0" w:after="0"/>
        <w:ind w:firstLine="0"/>
        <w:keepNext/>
      </w:pPr>
      <w:r>
        <w:rPr>
          <w:rFonts w:ascii="Times New Roman" w:hAnsi="Times New Roman"/>
          <w:sz w:val="24"/>
        </w:rPr>
        <w:t>Análisis Externo (PESTEL)</w:t>
      </w:r>
    </w:p>
    <w:p>
      <w:pPr>
        <w:spacing w:lineRule="auto" w:line="360" w:before="0" w:after="0"/>
        <w:ind w:firstLine="720"/>
      </w:pPr>
      <w:r>
        <w:rPr>
          <w:rFonts w:ascii="Times New Roman" w:hAnsi="Times New Roman"/>
          <w:sz w:val="24"/>
        </w:rPr>
        <w:t>Factores políticos: Coca-Cola opera en más de 200 países, expuesta a cambios en regulaciones comerciales, aranceles e impuestos a bebidas azucaradas. En 2024, varios países de Europa y América Latina implementaron impuestos adicionales a bebidas con alto contenido de azúcar.</w:t>
      </w:r>
    </w:p>
    <w:p>
      <w:pPr>
        <w:spacing w:lineRule="auto" w:line="360" w:before="0" w:after="0"/>
        <w:ind w:firstLine="720"/>
      </w:pPr>
      <w:r>
        <w:rPr>
          <w:rFonts w:ascii="Times New Roman" w:hAnsi="Times New Roman"/>
          <w:sz w:val="24"/>
        </w:rPr>
        <w:t>Factores económicos: La empresa se ve afectada por fluctuaciones en tipos de cambio, inflación y poder adquisitivo. En 2024 reportó un crecimiento orgánico del 6% en el primer trimestre, demostrando resiliencia económica.</w:t>
      </w:r>
    </w:p>
    <w:p>
      <w:pPr>
        <w:spacing w:lineRule="auto" w:line="360" w:before="0" w:after="0"/>
        <w:ind w:firstLine="720"/>
      </w:pPr>
      <w:r>
        <w:rPr>
          <w:rFonts w:ascii="Times New Roman" w:hAnsi="Times New Roman"/>
          <w:sz w:val="24"/>
        </w:rPr>
        <w:t>Factores sociales: Existe una tendencia global hacia estilos de vida más saludables. Las bebidas saludables ya representan más del 30% de los lanzamientos anuales de Coca-Cola.</w:t>
      </w:r>
    </w:p>
    <w:p>
      <w:pPr>
        <w:spacing w:lineRule="auto" w:line="360" w:before="0" w:after="0"/>
        <w:ind w:firstLine="720"/>
      </w:pPr>
      <w:r>
        <w:rPr>
          <w:rFonts w:ascii="Times New Roman" w:hAnsi="Times New Roman"/>
          <w:sz w:val="24"/>
        </w:rPr>
        <w:t>Factores tecnológicos: Coca-Cola invierte en IA, automatización, blockchain para trazabilidad y plataformas de comercio electrónico. En 2024 migró su infraestructura a Google Cloud.</w:t>
      </w:r>
    </w:p>
    <w:p>
      <w:pPr>
        <w:spacing w:lineRule="auto" w:line="360" w:before="0" w:after="0"/>
        <w:ind w:firstLine="720"/>
      </w:pPr>
      <w:r>
        <w:rPr>
          <w:rFonts w:ascii="Times New Roman" w:hAnsi="Times New Roman"/>
          <w:sz w:val="24"/>
        </w:rPr>
        <w:t>Factores ecológicos: La contaminación por plásticos es una de las mayores amenazas reputacionales. Coca-Cola se ha comprometido a recolectar y reciclar el equivalente al 100% de sus envases para 2030.</w:t>
      </w:r>
    </w:p>
    <w:p>
      <w:pPr>
        <w:spacing w:lineRule="auto" w:line="360" w:before="0" w:after="0"/>
        <w:ind w:firstLine="720"/>
      </w:pPr>
      <w:r>
        <w:rPr>
          <w:rFonts w:ascii="Times New Roman" w:hAnsi="Times New Roman"/>
          <w:sz w:val="24"/>
        </w:rPr>
        <w:t>Factores legales: Debe cumplir con regulaciones de seguridad alimentaria, etiquetado, publicidad, leyes antimonopolio y normativas laborales en cada país donde opera.</w:t>
      </w:r>
    </w:p>
    <w:p>
      <w:pPr>
        <w:pStyle w:val="Heading2"/>
        <w:spacing w:lineRule="auto" w:line="360" w:before="0" w:after="0"/>
        <w:ind w:firstLine="0"/>
        <w:keepNext/>
      </w:pPr>
      <w:r>
        <w:rPr>
          <w:rFonts w:ascii="Times New Roman" w:hAnsi="Times New Roman"/>
          <w:sz w:val="24"/>
        </w:rPr>
        <w:t>Análisis Interno (FODA)</w:t>
      </w:r>
    </w:p>
    <w:p>
      <w:pPr>
        <w:pStyle w:val="Heading3"/>
        <w:spacing w:lineRule="auto" w:line="360" w:before="0" w:after="0"/>
        <w:ind w:firstLine="0"/>
        <w:keepNext/>
      </w:pPr>
      <w:r>
        <w:rPr>
          <w:rFonts w:ascii="Times New Roman" w:hAnsi="Times New Roman"/>
          <w:sz w:val="24"/>
        </w:rPr>
        <w:t>Fortalezas</w:t>
      </w:r>
    </w:p>
    <w:p>
      <w:pPr>
        <w:spacing w:lineRule="auto" w:line="360" w:before="0" w:after="0"/>
        <w:ind w:firstLine="720"/>
      </w:pPr>
      <w:r>
        <w:rPr>
          <w:rFonts w:ascii="Times New Roman" w:hAnsi="Times New Roman"/>
          <w:sz w:val="24"/>
        </w:rPr>
        <w:t>(a) Marca global reconocida valorada en más de $60,000 millones; (b) portafolio diversificado de más de 500 marcas; (c) cadena de suministro y distribución más grande del mundo; (d) fórmula secreta como ventaja competitiva; (e) ingresos anuales superiores a $47,000 millones; (f) capacidad de innovación con más de 50 nuevos productos en 2024.</w:t>
      </w:r>
    </w:p>
    <w:p>
      <w:pPr>
        <w:pStyle w:val="Heading3"/>
        <w:spacing w:lineRule="auto" w:line="360" w:before="0" w:after="0"/>
        <w:ind w:firstLine="0"/>
        <w:keepNext/>
      </w:pPr>
      <w:r>
        <w:rPr>
          <w:rFonts w:ascii="Times New Roman" w:hAnsi="Times New Roman"/>
          <w:sz w:val="24"/>
        </w:rPr>
        <w:t>Debilidades</w:t>
      </w:r>
    </w:p>
    <w:p>
      <w:pPr>
        <w:spacing w:lineRule="auto" w:line="360" w:before="0" w:after="0"/>
        <w:ind w:firstLine="720"/>
      </w:pPr>
      <w:r>
        <w:rPr>
          <w:rFonts w:ascii="Times New Roman" w:hAnsi="Times New Roman"/>
          <w:sz w:val="24"/>
        </w:rPr>
        <w:t>(a) Dependencia de bebidas carbonatadas; (b) percepción negativa asociada a problemas de salud; (c) impacto ambiental por plásticos de un solo uso; (d) alta inversión en marketing incrementa costos; (e) deuda considerable derivada de adquisiciones.</w:t>
      </w:r>
    </w:p>
    <w:p>
      <w:pPr>
        <w:pStyle w:val="Heading3"/>
        <w:spacing w:lineRule="auto" w:line="360" w:before="0" w:after="0"/>
        <w:ind w:firstLine="0"/>
        <w:keepNext/>
      </w:pPr>
      <w:r>
        <w:rPr>
          <w:rFonts w:ascii="Times New Roman" w:hAnsi="Times New Roman"/>
          <w:sz w:val="24"/>
        </w:rPr>
        <w:t>Oportunidades</w:t>
      </w:r>
    </w:p>
    <w:p>
      <w:pPr>
        <w:spacing w:lineRule="auto" w:line="360" w:before="0" w:after="0"/>
        <w:ind w:firstLine="720"/>
      </w:pPr>
      <w:r>
        <w:rPr>
          <w:rFonts w:ascii="Times New Roman" w:hAnsi="Times New Roman"/>
          <w:sz w:val="24"/>
        </w:rPr>
        <w:t>(a) Demanda creciente de bebidas saludables; (b) expansión en mercados emergentes (África, Asia); (c) desarrollo de envases biodegradables; (d) alianzas estratégicas tecnológicas; (e) crecimiento del comercio electrónico.</w:t>
      </w:r>
    </w:p>
    <w:p>
      <w:pPr>
        <w:pStyle w:val="Heading3"/>
        <w:spacing w:lineRule="auto" w:line="360" w:before="0" w:after="0"/>
        <w:ind w:firstLine="0"/>
        <w:keepNext/>
      </w:pPr>
      <w:r>
        <w:rPr>
          <w:rFonts w:ascii="Times New Roman" w:hAnsi="Times New Roman"/>
          <w:sz w:val="24"/>
        </w:rPr>
        <w:t>Amenazas</w:t>
      </w:r>
    </w:p>
    <w:p>
      <w:pPr>
        <w:spacing w:lineRule="auto" w:line="360" w:before="0" w:after="0"/>
        <w:ind w:firstLine="720"/>
      </w:pPr>
      <w:r>
        <w:rPr>
          <w:rFonts w:ascii="Times New Roman" w:hAnsi="Times New Roman"/>
          <w:sz w:val="24"/>
        </w:rPr>
        <w:t>(a) Competencia intensa de PepsiCo y marcas locales; (b) regulaciones restrictivas; (c) cambio en preferencias del consumidor; (d) activismo ambiental; (e) fluctuaciones económicas globales.</w:t>
      </w:r>
    </w:p>
    <w:p>
      <w:pPr>
        <w:pStyle w:val="Heading1"/>
        <w:spacing w:lineRule="auto" w:line="360" w:before="0" w:after="0"/>
        <w:ind w:firstLine="0"/>
        <w:keepNext/>
      </w:pPr>
      <w:r>
        <w:rPr>
          <w:rFonts w:ascii="Times New Roman" w:hAnsi="Times New Roman"/>
          <w:sz w:val="24"/>
        </w:rPr>
        <w:t>Entregable 2: Objetivos Estratégicos, Necesidades de TI e Ideas de Proyecto</w:t>
      </w:r>
    </w:p>
    <w:p>
      <w:pPr>
        <w:pStyle w:val="Heading2"/>
        <w:spacing w:lineRule="auto" w:line="360" w:before="0" w:after="0"/>
        <w:ind w:firstLine="0"/>
        <w:keepNext/>
      </w:pPr>
      <w:r>
        <w:rPr>
          <w:rFonts w:ascii="Times New Roman" w:hAnsi="Times New Roman"/>
          <w:sz w:val="24"/>
        </w:rPr>
        <w:t>Objetivos Estratégicos y Metas</w:t>
      </w:r>
    </w:p>
    <w:p>
      <w:pPr>
        <w:pStyle w:val="Heading3"/>
        <w:spacing w:lineRule="auto" w:line="360" w:before="0" w:after="0"/>
        <w:ind w:firstLine="0"/>
        <w:keepNext/>
      </w:pPr>
      <w:r>
        <w:rPr>
          <w:rFonts w:ascii="Times New Roman" w:hAnsi="Times New Roman"/>
          <w:sz w:val="24"/>
        </w:rPr>
        <w:t>OE1: Sostenibilidad Ambiental</w:t>
      </w:r>
    </w:p>
    <w:p>
      <w:pPr>
        <w:spacing w:lineRule="auto" w:line="360" w:before="0" w:after="0"/>
        <w:ind w:firstLine="720"/>
      </w:pPr>
      <w:r>
        <w:rPr>
          <w:rFonts w:ascii="Times New Roman" w:hAnsi="Times New Roman"/>
          <w:sz w:val="24"/>
        </w:rPr>
        <w:t>Alcanzar envases 100% reciclables para 2030, reducir plástico virgen en 50% e incorporar 50% de material reciclado en todos los envases.</w:t>
      </w:r>
    </w:p>
    <w:p>
      <w:pPr>
        <w:pStyle w:val="Heading3"/>
        <w:spacing w:lineRule="auto" w:line="360" w:before="0" w:after="0"/>
        <w:ind w:firstLine="0"/>
        <w:keepNext/>
      </w:pPr>
      <w:r>
        <w:rPr>
          <w:rFonts w:ascii="Times New Roman" w:hAnsi="Times New Roman"/>
          <w:sz w:val="24"/>
        </w:rPr>
        <w:t>OE2: Transformación Digital</w:t>
      </w:r>
    </w:p>
    <w:p>
      <w:pPr>
        <w:spacing w:lineRule="auto" w:line="360" w:before="0" w:after="0"/>
        <w:ind w:firstLine="720"/>
      </w:pPr>
      <w:r>
        <w:rPr>
          <w:rFonts w:ascii="Times New Roman" w:hAnsi="Times New Roman"/>
          <w:sz w:val="24"/>
        </w:rPr>
        <w:t>Implementar IA y análisis predictivo en el 80% de los procesos de cadena de suministro para 2027, y alcanzar 50 millones de interacciones digitales personalizadas al año.</w:t>
      </w:r>
    </w:p>
    <w:p>
      <w:pPr>
        <w:pStyle w:val="Heading3"/>
        <w:spacing w:lineRule="auto" w:line="360" w:before="0" w:after="0"/>
        <w:ind w:firstLine="0"/>
        <w:keepNext/>
      </w:pPr>
      <w:r>
        <w:rPr>
          <w:rFonts w:ascii="Times New Roman" w:hAnsi="Times New Roman"/>
          <w:sz w:val="24"/>
        </w:rPr>
        <w:t>OE3: Salud y Bienestar</w:t>
      </w:r>
    </w:p>
    <w:p>
      <w:pPr>
        <w:spacing w:lineRule="auto" w:line="360" w:before="0" w:after="0"/>
        <w:ind w:firstLine="720"/>
      </w:pPr>
      <w:r>
        <w:rPr>
          <w:rFonts w:ascii="Times New Roman" w:hAnsi="Times New Roman"/>
          <w:sz w:val="24"/>
        </w:rPr>
        <w:t>Que las bebidas bajas en azúcar, sin azúcar y funcionales representen el 50% de los ingresos totales para 2030.</w:t>
      </w:r>
    </w:p>
    <w:p>
      <w:pPr>
        <w:pStyle w:val="Heading3"/>
        <w:spacing w:lineRule="auto" w:line="360" w:before="0" w:after="0"/>
        <w:ind w:firstLine="0"/>
        <w:keepNext/>
      </w:pPr>
      <w:r>
        <w:rPr>
          <w:rFonts w:ascii="Times New Roman" w:hAnsi="Times New Roman"/>
          <w:sz w:val="24"/>
        </w:rPr>
        <w:t>OE4: Crecimiento en Mercados Emergentes</w:t>
      </w:r>
    </w:p>
    <w:p>
      <w:pPr>
        <w:spacing w:lineRule="auto" w:line="360" w:before="0" w:after="0"/>
        <w:ind w:firstLine="720"/>
      </w:pPr>
      <w:r>
        <w:rPr>
          <w:rFonts w:ascii="Times New Roman" w:hAnsi="Times New Roman"/>
          <w:sz w:val="24"/>
        </w:rPr>
        <w:t>Aumentar los ingresos de mercados emergentes en un 15% anual durante los próximos 5 años.</w:t>
      </w:r>
    </w:p>
    <w:p>
      <w:pPr>
        <w:pStyle w:val="Heading3"/>
        <w:spacing w:lineRule="auto" w:line="360" w:before="0" w:after="0"/>
        <w:ind w:firstLine="0"/>
        <w:keepNext/>
      </w:pPr>
      <w:r>
        <w:rPr>
          <w:rFonts w:ascii="Times New Roman" w:hAnsi="Times New Roman"/>
          <w:sz w:val="24"/>
        </w:rPr>
        <w:t>OE5: Excelencia Operativa</w:t>
      </w:r>
    </w:p>
    <w:p>
      <w:pPr>
        <w:spacing w:lineRule="auto" w:line="360" w:before="0" w:after="0"/>
        <w:ind w:firstLine="720"/>
      </w:pPr>
      <w:r>
        <w:rPr>
          <w:rFonts w:ascii="Times New Roman" w:hAnsi="Times New Roman"/>
          <w:sz w:val="24"/>
        </w:rPr>
        <w:t>Reducir los costos operativos en un 10% mediante eficiencias tecnológicas para 2027.</w:t>
      </w:r>
    </w:p>
    <w:p>
      <w:pPr>
        <w:pStyle w:val="Heading2"/>
        <w:spacing w:lineRule="auto" w:line="360" w:before="0" w:after="0"/>
        <w:ind w:firstLine="0"/>
        <w:keepNext/>
      </w:pPr>
      <w:r>
        <w:rPr>
          <w:rFonts w:ascii="Times New Roman" w:hAnsi="Times New Roman"/>
          <w:sz w:val="24"/>
        </w:rPr>
        <w:t>Necesidades en el Área de TI</w:t>
      </w:r>
    </w:p>
    <w:p>
      <w:pPr>
        <w:pStyle w:val="Heading3"/>
        <w:spacing w:lineRule="auto" w:line="360" w:before="0" w:after="0"/>
        <w:ind w:firstLine="0"/>
        <w:keepNext/>
      </w:pPr>
      <w:r>
        <w:rPr>
          <w:rFonts w:ascii="Times New Roman" w:hAnsi="Times New Roman"/>
          <w:sz w:val="24"/>
        </w:rPr>
        <w:t>N1: Plataforma de Trazabilidad con Blockchain</w:t>
      </w:r>
    </w:p>
    <w:p>
      <w:pPr>
        <w:spacing w:lineRule="auto" w:line="360" w:before="0" w:after="0"/>
        <w:ind w:firstLine="720"/>
      </w:pPr>
      <w:r>
        <w:rPr>
          <w:rFonts w:ascii="Times New Roman" w:hAnsi="Times New Roman"/>
          <w:sz w:val="24"/>
        </w:rPr>
        <w:t>Sistema basado en blockchain que rastree cada envase desde producción hasta reciclaje, para cumplir los objetivos de economía circular ante presión regulatoria y reputacional.</w:t>
      </w:r>
    </w:p>
    <w:p>
      <w:pPr>
        <w:pStyle w:val="Heading3"/>
        <w:spacing w:lineRule="auto" w:line="360" w:before="0" w:after="0"/>
        <w:ind w:firstLine="0"/>
        <w:keepNext/>
      </w:pPr>
      <w:r>
        <w:rPr>
          <w:rFonts w:ascii="Times New Roman" w:hAnsi="Times New Roman"/>
          <w:sz w:val="24"/>
        </w:rPr>
        <w:t>N2: Sistema de Analítica Predictiva</w:t>
      </w:r>
    </w:p>
    <w:p>
      <w:pPr>
        <w:spacing w:lineRule="auto" w:line="360" w:before="0" w:after="0"/>
        <w:ind w:firstLine="720"/>
      </w:pPr>
      <w:r>
        <w:rPr>
          <w:rFonts w:ascii="Times New Roman" w:hAnsi="Times New Roman"/>
          <w:sz w:val="24"/>
        </w:rPr>
        <w:t>Sistema de IA que optimice demanda, inventario y distribución en tiempo real en más de 200 países.</w:t>
      </w:r>
    </w:p>
    <w:p>
      <w:pPr>
        <w:pStyle w:val="Heading3"/>
        <w:spacing w:lineRule="auto" w:line="360" w:before="0" w:after="0"/>
        <w:ind w:firstLine="0"/>
        <w:keepNext/>
      </w:pPr>
      <w:r>
        <w:rPr>
          <w:rFonts w:ascii="Times New Roman" w:hAnsi="Times New Roman"/>
          <w:sz w:val="24"/>
        </w:rPr>
        <w:t>N3: Plataforma de Personalización Digital</w:t>
      </w:r>
    </w:p>
    <w:p>
      <w:pPr>
        <w:spacing w:lineRule="auto" w:line="360" w:before="0" w:after="0"/>
        <w:ind w:firstLine="720"/>
      </w:pPr>
      <w:r>
        <w:rPr>
          <w:rFonts w:ascii="Times New Roman" w:hAnsi="Times New Roman"/>
          <w:sz w:val="24"/>
        </w:rPr>
        <w:t>Plataforma omnicanal con IA para recomendaciones personalizadas a consumidores.</w:t>
      </w:r>
    </w:p>
    <w:p>
      <w:pPr>
        <w:pStyle w:val="Heading3"/>
        <w:spacing w:lineRule="auto" w:line="360" w:before="0" w:after="0"/>
        <w:ind w:firstLine="0"/>
        <w:keepNext/>
      </w:pPr>
      <w:r>
        <w:rPr>
          <w:rFonts w:ascii="Times New Roman" w:hAnsi="Times New Roman"/>
          <w:sz w:val="24"/>
        </w:rPr>
        <w:t>N4: Sistema de Gestión ESG</w:t>
      </w:r>
    </w:p>
    <w:p>
      <w:pPr>
        <w:spacing w:lineRule="auto" w:line="360" w:before="0" w:after="0"/>
        <w:ind w:firstLine="720"/>
      </w:pPr>
      <w:r>
        <w:rPr>
          <w:rFonts w:ascii="Times New Roman" w:hAnsi="Times New Roman"/>
          <w:sz w:val="24"/>
        </w:rPr>
        <w:t>Sistema integral para medir, reportar y gestionar indicadores ambientales, sociales y de gobernanza.</w:t>
      </w:r>
    </w:p>
    <w:p>
      <w:pPr>
        <w:pStyle w:val="Heading3"/>
        <w:spacing w:lineRule="auto" w:line="360" w:before="0" w:after="0"/>
        <w:ind w:firstLine="0"/>
        <w:keepNext/>
      </w:pPr>
      <w:r>
        <w:rPr>
          <w:rFonts w:ascii="Times New Roman" w:hAnsi="Times New Roman"/>
          <w:sz w:val="24"/>
        </w:rPr>
        <w:t>N5: Infraestructura de Ciberseguridad Avanzada</w:t>
      </w:r>
    </w:p>
    <w:p>
      <w:pPr>
        <w:spacing w:lineRule="auto" w:line="360" w:before="0" w:after="0"/>
        <w:ind w:firstLine="720"/>
      </w:pPr>
      <w:r>
        <w:rPr>
          <w:rFonts w:ascii="Times New Roman" w:hAnsi="Times New Roman"/>
          <w:sz w:val="24"/>
        </w:rPr>
        <w:t>Infraestructura con detección de amenazas mediante IA, confianza cero y protección de datos global.</w:t>
      </w:r>
    </w:p>
    <w:p>
      <w:pPr>
        <w:pStyle w:val="Heading2"/>
        <w:spacing w:lineRule="auto" w:line="360" w:before="0" w:after="0"/>
        <w:ind w:firstLine="0"/>
        <w:keepNext/>
      </w:pPr>
      <w:r>
        <w:rPr>
          <w:rFonts w:ascii="Times New Roman" w:hAnsi="Times New Roman"/>
          <w:sz w:val="24"/>
        </w:rPr>
        <w:t>Ideas de Proyecto</w:t>
      </w:r>
    </w:p>
    <w:p>
      <w:pPr>
        <w:pStyle w:val="Heading3"/>
        <w:spacing w:lineRule="auto" w:line="360" w:before="0" w:after="0"/>
        <w:ind w:firstLine="0"/>
        <w:keepNext/>
      </w:pPr>
      <w:r>
        <w:rPr>
          <w:rFonts w:ascii="Times New Roman" w:hAnsi="Times New Roman"/>
          <w:sz w:val="24"/>
        </w:rPr>
        <w:t>Idea 1: Plataforma Global de Trazabilidad Circular con Blockchain</w:t>
      </w:r>
    </w:p>
    <w:p>
      <w:pPr>
        <w:spacing w:lineRule="auto" w:line="360" w:before="0" w:after="0"/>
        <w:ind w:firstLine="720"/>
      </w:pPr>
      <w:r>
        <w:rPr>
          <w:rFonts w:ascii="Times New Roman" w:hAnsi="Times New Roman"/>
          <w:sz w:val="24"/>
        </w:rPr>
        <w:t>Desarrollo de plataforma Hyperledger Fabric que registre el ciclo de vida completo de cada envase, desde producción hasta reciclaje. Beneficios: transparencia total, cumplimiento regulatorio, mejora reputacional. Costo: $15 millones. Duración: 18 meses.</w:t>
      </w:r>
    </w:p>
    <w:p>
      <w:pPr>
        <w:pStyle w:val="Heading3"/>
        <w:spacing w:lineRule="auto" w:line="360" w:before="0" w:after="0"/>
        <w:ind w:firstLine="0"/>
        <w:keepNext/>
      </w:pPr>
      <w:r>
        <w:rPr>
          <w:rFonts w:ascii="Times New Roman" w:hAnsi="Times New Roman"/>
          <w:sz w:val="24"/>
        </w:rPr>
        <w:t>Idea 2: Sistema de Analítica Predictiva para Cadena de Suministro</w:t>
      </w:r>
    </w:p>
    <w:p>
      <w:pPr>
        <w:spacing w:lineRule="auto" w:line="360" w:before="0" w:after="0"/>
        <w:ind w:firstLine="720"/>
      </w:pPr>
      <w:r>
        <w:rPr>
          <w:rFonts w:ascii="Times New Roman" w:hAnsi="Times New Roman"/>
          <w:sz w:val="24"/>
        </w:rPr>
        <w:t>Solución de IA sobre Google Cloud para predecir demanda con 95% de precisión. Beneficios: reducción de inventario en 15%, optimización de rutas. Costo: $12 millones. Duración: 14 meses.</w:t>
      </w:r>
    </w:p>
    <w:p>
      <w:pPr>
        <w:pStyle w:val="Heading3"/>
        <w:spacing w:lineRule="auto" w:line="360" w:before="0" w:after="0"/>
        <w:ind w:firstLine="0"/>
        <w:keepNext/>
      </w:pPr>
      <w:r>
        <w:rPr>
          <w:rFonts w:ascii="Times New Roman" w:hAnsi="Times New Roman"/>
          <w:sz w:val="24"/>
        </w:rPr>
        <w:t>Idea 3: Plataforma de Experiencia Digital Personalizada</w:t>
      </w:r>
    </w:p>
    <w:p>
      <w:pPr>
        <w:spacing w:lineRule="auto" w:line="360" w:before="0" w:after="0"/>
        <w:ind w:firstLine="720"/>
      </w:pPr>
      <w:r>
        <w:rPr>
          <w:rFonts w:ascii="Times New Roman" w:hAnsi="Times New Roman"/>
          <w:sz w:val="24"/>
        </w:rPr>
        <w:t>Plataforma omnicanal con IA para recomendaciones personalizadas, gamificación y recompensas. Beneficios: aumento del 25% en engagement digital. Costo: $20 millones. Duración: 24 meses.</w:t>
      </w:r>
    </w:p>
    <w:p>
      <w:pPr>
        <w:pStyle w:val="Heading2"/>
        <w:spacing w:lineRule="auto" w:line="360" w:before="0" w:after="0"/>
        <w:ind w:firstLine="0"/>
        <w:keepNext/>
      </w:pPr>
      <w:r>
        <w:rPr>
          <w:rFonts w:ascii="Times New Roman" w:hAnsi="Times New Roman"/>
          <w:sz w:val="24"/>
        </w:rPr>
        <w:t>Selección del Proyecto</w:t>
      </w:r>
    </w:p>
    <w:p>
      <w:pPr>
        <w:spacing w:lineRule="auto" w:line="360" w:before="0" w:after="0"/>
        <w:ind w:firstLine="720"/>
      </w:pPr>
      <w:r>
        <w:rPr>
          <w:rFonts w:ascii="Times New Roman" w:hAnsi="Times New Roman"/>
          <w:sz w:val="24"/>
        </w:rPr>
        <w:t>Se selecciona la Plataforma Global de Trazabilidad Circular con Blockchain (Idea 1) porque: (a) la sostenibilidad es la mayor presión estratégica que enfrenta Coca-Cola, señalada como el mayor contaminador de plástico del planeta; (b) alto impacto reputacional y comercial; (c) integra múltiples áreas de TI (blockchain, IoT, big data, cloud); (d) alcance factible para el curso con componentes modulares.</w:t>
      </w:r>
    </w:p>
    <w:p>
      <w:pPr>
        <w:pStyle w:val="Heading1"/>
        <w:spacing w:lineRule="auto" w:line="360" w:before="0" w:after="0"/>
        <w:ind w:firstLine="0"/>
        <w:keepNext/>
      </w:pPr>
      <w:r>
        <w:rPr>
          <w:rFonts w:ascii="Times New Roman" w:hAnsi="Times New Roman"/>
          <w:sz w:val="24"/>
        </w:rPr>
        <w:t>Entregable 3: Estudio de Mercado</w:t>
      </w:r>
    </w:p>
    <w:p>
      <w:pPr>
        <w:pStyle w:val="Heading2"/>
        <w:spacing w:lineRule="auto" w:line="360" w:before="0" w:after="0"/>
        <w:ind w:firstLine="0"/>
        <w:keepNext/>
      </w:pPr>
      <w:r>
        <w:rPr>
          <w:rFonts w:ascii="Times New Roman" w:hAnsi="Times New Roman"/>
          <w:sz w:val="24"/>
        </w:rPr>
        <w:t>Competidores de la Empresa</w:t>
      </w:r>
    </w:p>
    <w:p>
      <w:pPr>
        <w:spacing w:lineRule="auto" w:line="360" w:before="0" w:after="0"/>
        <w:ind w:firstLine="720"/>
      </w:pPr>
      <w:r>
        <w:rPr>
          <w:rFonts w:ascii="Times New Roman" w:hAnsi="Times New Roman"/>
          <w:sz w:val="24"/>
        </w:rPr>
        <w:t>Competidores directos en trazabilidad blockchain: (a) PepsiCo, con su propio sistema de trazabilidad y 'PepsiCo Recycling'; (b) Nestlé Waters, con IBM Food Trust; (c) Unilever, con soluciones de reciclaje inteligente IoT; (d) Danone, con trazabilidad circular en agua embotellada.</w:t>
      </w:r>
    </w:p>
    <w:p>
      <w:pPr>
        <w:spacing w:lineRule="auto" w:line="360" w:before="0" w:after="0"/>
        <w:ind w:firstLine="720"/>
      </w:pPr>
      <w:r>
        <w:rPr>
          <w:rFonts w:ascii="Times New Roman" w:hAnsi="Times New Roman"/>
          <w:sz w:val="24"/>
        </w:rPr>
        <w:t>Competidores en TI de sostenibilidad: SAP (S/4HANA), IBM (Environmental Intelligence Suite), Salesforce (NetZero Cloud), Microsoft (Cloud for Sustainability).</w:t>
      </w:r>
    </w:p>
    <w:p>
      <w:pPr>
        <w:pStyle w:val="Heading2"/>
        <w:spacing w:lineRule="auto" w:line="360" w:before="0" w:after="0"/>
        <w:ind w:firstLine="0"/>
        <w:keepNext/>
      </w:pPr>
      <w:r>
        <w:rPr>
          <w:rFonts w:ascii="Times New Roman" w:hAnsi="Times New Roman"/>
          <w:sz w:val="24"/>
        </w:rPr>
        <w:t>Elementos de TI Operativos de Coca-Cola</w:t>
      </w:r>
    </w:p>
    <w:p>
      <w:pPr>
        <w:spacing w:lineRule="auto" w:line="360" w:before="0" w:after="0"/>
        <w:ind w:firstLine="720"/>
      </w:pPr>
      <w:r>
        <w:rPr>
          <w:rFonts w:ascii="Times New Roman" w:hAnsi="Times New Roman"/>
          <w:sz w:val="24"/>
        </w:rPr>
        <w:t>Infraestructura en Google Cloud, SAP ERP, sistemas SCM, IoT en plantas embotelladoras, máquinas expendedoras inteligentes, data lakes y herramientas de BI (Tableau, Power BI).</w:t>
      </w:r>
    </w:p>
    <w:p>
      <w:pPr>
        <w:pStyle w:val="Heading2"/>
        <w:spacing w:lineRule="auto" w:line="360" w:before="0" w:after="0"/>
        <w:ind w:firstLine="0"/>
        <w:keepNext/>
      </w:pPr>
      <w:r>
        <w:rPr>
          <w:rFonts w:ascii="Times New Roman" w:hAnsi="Times New Roman"/>
          <w:sz w:val="24"/>
        </w:rPr>
        <w:t>Proveedores</w:t>
      </w:r>
    </w:p>
    <w:p>
      <w:pPr>
        <w:spacing w:lineRule="auto" w:line="360" w:before="0" w:after="0"/>
        <w:ind w:firstLine="720"/>
      </w:pPr>
      <w:r>
        <w:rPr>
          <w:rFonts w:ascii="Times New Roman" w:hAnsi="Times New Roman"/>
          <w:sz w:val="24"/>
        </w:rPr>
        <w:t>Tecnología blockchain: IBM Blockchain (Hyperledger Fabric, desde $50,000/año), ConsenSys Quorum (precios personalizados), Oracle Blockchain ($3,000/mes por nodo), Amazon Managed Blockchain ($0.65/hora por nodo). Consultoría: Accenture ($200-$400/hora), Deloitte, PwC, TCS. Hardware IoT: Zebra Technologies, Siemens, NXP Semiconductores.</w:t>
      </w:r>
    </w:p>
    <w:p>
      <w:pPr>
        <w:pStyle w:val="Heading2"/>
        <w:spacing w:lineRule="auto" w:line="360" w:before="0" w:after="0"/>
        <w:ind w:firstLine="0"/>
        <w:keepNext/>
      </w:pPr>
      <w:r>
        <w:rPr>
          <w:rFonts w:ascii="Times New Roman" w:hAnsi="Times New Roman"/>
          <w:sz w:val="24"/>
        </w:rPr>
        <w:t>Precios de los Productos</w:t>
      </w:r>
    </w:p>
    <w:p>
      <w:pPr>
        <w:spacing w:lineRule="auto" w:line="360" w:before="0" w:after="0"/>
        <w:ind w:firstLine="720"/>
      </w:pPr>
      <w:r>
        <w:rPr>
          <w:rFonts w:ascii="Times New Roman" w:hAnsi="Times New Roman"/>
          <w:sz w:val="24"/>
        </w:rPr>
        <w:t>Plataformas blockchain empresariales: IBM Blockchain ($50,000-$250,000/año), soluciones personalizadas Hyperledger Fabric ($200,000-$1,000,000), Kaleido SaaS (desde $5,000/mes), AWS Managed Blockchain ($15,000-$30,000/mes). Consultoría: estrategia ($50,000-$100,000), desarrollo ($300,000-$800,000), capacitación ($50,000-$150,000).</w:t>
      </w:r>
    </w:p>
    <w:p>
      <w:pPr>
        <w:pStyle w:val="Heading2"/>
        <w:spacing w:lineRule="auto" w:line="360" w:before="0" w:after="0"/>
        <w:ind w:firstLine="0"/>
        <w:keepNext/>
      </w:pPr>
      <w:r>
        <w:rPr>
          <w:rFonts w:ascii="Times New Roman" w:hAnsi="Times New Roman"/>
          <w:sz w:val="24"/>
        </w:rPr>
        <w:t>Demanda y Elasticidad</w:t>
      </w:r>
    </w:p>
    <w:p>
      <w:pPr>
        <w:spacing w:lineRule="auto" w:line="360" w:before="0" w:after="0"/>
        <w:ind w:firstLine="720"/>
      </w:pPr>
      <w:r>
        <w:rPr>
          <w:rFonts w:ascii="Times New Roman" w:hAnsi="Times New Roman"/>
          <w:sz w:val="24"/>
        </w:rPr>
        <w:t>El mercado global de trazabilidad en cadena de suministro alcanzó $9,800 millones en 2024 con crecimiento proyectado del 13.2% anual hasta 2030. El mercado de blockchain para sostenibilidad crece al 18% anual. La demanda por parte de Coca-Cola es inelástica: el costo del proyecto ($15M) representa menos del 0.03% de los ingresos anuales ($47,000M) y no existen sustitutos perfectos para la transparencia verificable.</w:t>
      </w:r>
    </w:p>
    <w:p>
      <w:pPr>
        <w:pStyle w:val="Heading2"/>
        <w:spacing w:lineRule="auto" w:line="360" w:before="0" w:after="0"/>
        <w:ind w:firstLine="0"/>
        <w:keepNext/>
      </w:pPr>
      <w:r>
        <w:rPr>
          <w:rFonts w:ascii="Times New Roman" w:hAnsi="Times New Roman"/>
          <w:sz w:val="24"/>
        </w:rPr>
        <w:t>Productos Sustitutos, Complementarios e Independientes</w:t>
      </w:r>
    </w:p>
    <w:p>
      <w:pPr>
        <w:spacing w:lineRule="auto" w:line="360" w:before="0" w:after="0"/>
        <w:ind w:firstLine="720"/>
      </w:pPr>
      <w:r>
        <w:rPr>
          <w:rFonts w:ascii="Times New Roman" w:hAnsi="Times New Roman"/>
          <w:sz w:val="24"/>
        </w:rPr>
        <w:t>Sustitutos: sistemas de trazabilidad centralizados, certificaciones ISO 14001 sin trazabilidad digital, plataformas genéricas de gestión ESG. Complementarios: sistemas de recompensa por reciclaje, apps de escaneo QR, sistemas de depósito automatizados, plataformas de reporte ESG. Independientes: sistemas de RRHH, marketing digital, finanzas tradicionales, herramientas de colaboración interna.</w:t>
      </w:r>
    </w:p>
    <w:p>
      <w:pPr>
        <w:pStyle w:val="Heading1"/>
        <w:spacing w:lineRule="auto" w:line="360" w:before="0" w:after="0"/>
        <w:ind w:firstLine="0"/>
        <w:keepNext/>
      </w:pPr>
      <w:r>
        <w:rPr>
          <w:rFonts w:ascii="Times New Roman" w:hAnsi="Times New Roman"/>
          <w:sz w:val="24"/>
        </w:rPr>
        <w:t>Entregable 4: Estudio Técnico y Legal</w:t>
      </w:r>
    </w:p>
    <w:p>
      <w:pPr>
        <w:pStyle w:val="Heading2"/>
        <w:spacing w:lineRule="auto" w:line="360" w:before="0" w:after="0"/>
        <w:ind w:firstLine="0"/>
        <w:keepNext/>
      </w:pPr>
      <w:r>
        <w:rPr>
          <w:rFonts w:ascii="Times New Roman" w:hAnsi="Times New Roman"/>
          <w:sz w:val="24"/>
        </w:rPr>
        <w:t>Requerimientos Técnicos</w:t>
      </w:r>
    </w:p>
    <w:p>
      <w:pPr>
        <w:pStyle w:val="Heading3"/>
        <w:spacing w:lineRule="auto" w:line="360" w:before="0" w:after="0"/>
        <w:ind w:firstLine="0"/>
        <w:keepNext/>
      </w:pPr>
      <w:r>
        <w:rPr>
          <w:rFonts w:ascii="Times New Roman" w:hAnsi="Times New Roman"/>
          <w:sz w:val="24"/>
        </w:rPr>
        <w:t>Funcionales</w:t>
      </w:r>
    </w:p>
    <w:p>
      <w:pPr>
        <w:spacing w:lineRule="auto" w:line="360" w:before="0" w:after="0"/>
        <w:ind w:firstLine="720"/>
      </w:pPr>
      <w:r>
        <w:rPr>
          <w:rFonts w:ascii="Times New Roman" w:hAnsi="Times New Roman"/>
          <w:sz w:val="24"/>
        </w:rPr>
        <w:t>(a) Registro inmutable del ciclo de vida de cada envase; (b) generación de tokens digitales por envase reciclado; (c) integración con IoT en plantas y centros de reciclaje; (d) dashboard ESG en tiempo real; (e) reportes automáticos regulatorios; (f) interfaz para consumidores con escaneo QR; (g) API para integración con SAP.</w:t>
      </w:r>
    </w:p>
    <w:p>
      <w:pPr>
        <w:pStyle w:val="Heading3"/>
        <w:spacing w:lineRule="auto" w:line="360" w:before="0" w:after="0"/>
        <w:ind w:firstLine="0"/>
        <w:keepNext/>
      </w:pPr>
      <w:r>
        <w:rPr>
          <w:rFonts w:ascii="Times New Roman" w:hAnsi="Times New Roman"/>
          <w:sz w:val="24"/>
        </w:rPr>
        <w:t>No Funcionales</w:t>
      </w:r>
    </w:p>
    <w:p>
      <w:pPr>
        <w:spacing w:lineRule="auto" w:line="360" w:before="0" w:after="0"/>
        <w:ind w:firstLine="720"/>
      </w:pPr>
      <w:r>
        <w:rPr>
          <w:rFonts w:ascii="Times New Roman" w:hAnsi="Times New Roman"/>
          <w:sz w:val="24"/>
        </w:rPr>
        <w:t>(a) Escalabilidad para 200,000 transacciones/minuto; (b) disponibilidad 99.99%; (c) latencia máxima de 2 segundos; (d) cifrado AES-256; (e) cumplimiento GDPR/CCPA; (f) interoperabilidad con sistemas legados; (g) soporte para 40+ idiomas.</w:t>
      </w:r>
    </w:p>
    <w:p>
      <w:pPr>
        <w:pStyle w:val="Heading2"/>
        <w:spacing w:lineRule="auto" w:line="360" w:before="0" w:after="0"/>
        <w:ind w:firstLine="0"/>
        <w:keepNext/>
      </w:pPr>
      <w:r>
        <w:rPr>
          <w:rFonts w:ascii="Times New Roman" w:hAnsi="Times New Roman"/>
          <w:sz w:val="24"/>
        </w:rPr>
        <w:t>Capacidades Técnicas Organizacionales</w:t>
      </w:r>
    </w:p>
    <w:p>
      <w:pPr>
        <w:spacing w:lineRule="auto" w:line="360" w:before="0" w:after="0"/>
        <w:ind w:firstLine="720"/>
      </w:pPr>
      <w:r>
        <w:rPr>
          <w:rFonts w:ascii="Times New Roman" w:hAnsi="Times New Roman"/>
          <w:sz w:val="24"/>
        </w:rPr>
        <w:t>Capacidades existentes: Google Cloud operativo, equipo de TI global de 5,000+ profesionales, experiencia en transformación digital, alianzas con Google/SAP/Accenture, data lakes y sistemas IoT desplegados. Capacidades requeridas: 15-20 especialistas en blockchain, centro de excelencia en blockchain, políticas de gobernanza de datos, alianzas con recicladores locales.</w:t>
      </w:r>
    </w:p>
    <w:p>
      <w:pPr>
        <w:pStyle w:val="Heading2"/>
        <w:spacing w:lineRule="auto" w:line="360" w:before="0" w:after="0"/>
        <w:ind w:firstLine="0"/>
        <w:keepNext/>
      </w:pPr>
      <w:r>
        <w:rPr>
          <w:rFonts w:ascii="Times New Roman" w:hAnsi="Times New Roman"/>
          <w:sz w:val="24"/>
        </w:rPr>
        <w:t>Costos Operativos y de Inversión</w:t>
      </w:r>
    </w:p>
    <w:p>
      <w:pPr>
        <w:pStyle w:val="Heading3"/>
        <w:spacing w:lineRule="auto" w:line="360" w:before="0" w:after="0"/>
        <w:ind w:firstLine="0"/>
        <w:keepNext/>
      </w:pPr>
      <w:r>
        <w:rPr>
          <w:rFonts w:ascii="Times New Roman" w:hAnsi="Times New Roman"/>
          <w:sz w:val="24"/>
        </w:rPr>
        <w:t>Inversión Inicial (Año 0)</w:t>
      </w:r>
    </w:p>
    <w:p>
      <w:pPr>
        <w:spacing w:lineRule="auto" w:line="360" w:before="0" w:after="0"/>
        <w:ind w:firstLine="720"/>
      </w:pPr>
      <w:r>
        <w:rPr>
          <w:rFonts w:ascii="Times New Roman" w:hAnsi="Times New Roman"/>
          <w:sz w:val="24"/>
        </w:rPr>
        <w:t>Desarrollo de plataforma blockchain: $4,500,000. Integración con sistemas existentes: $2,000,000. Hardware IoT: $3,000,000. Consultoría: $1,500,000. Licencias: $800,000. Capacitación: $500,000. Gestión del cambio: $400,000. Contingencias (10%): $1,270,000. Total inversión inicial: $13,970,000.</w:t>
      </w:r>
    </w:p>
    <w:p>
      <w:pPr>
        <w:pStyle w:val="Heading3"/>
        <w:spacing w:lineRule="auto" w:line="360" w:before="0" w:after="0"/>
        <w:ind w:firstLine="0"/>
        <w:keepNext/>
      </w:pPr>
      <w:r>
        <w:rPr>
          <w:rFonts w:ascii="Times New Roman" w:hAnsi="Times New Roman"/>
          <w:sz w:val="24"/>
        </w:rPr>
        <w:t>Costos Operativos Anuales</w:t>
      </w:r>
    </w:p>
    <w:p>
      <w:pPr>
        <w:spacing w:lineRule="auto" w:line="360" w:before="0" w:after="0"/>
        <w:ind w:firstLine="720"/>
      </w:pPr>
      <w:r>
        <w:rPr>
          <w:rFonts w:ascii="Times New Roman" w:hAnsi="Times New Roman"/>
          <w:sz w:val="24"/>
        </w:rPr>
        <w:t>Infraestructura cloud: $1,200,000. Mantenimiento: $800,000. Personal: $2,500,000. Licencias: $500,000. Actualización hardware IoT: $600,000. Capacitación: $200,000. Seguridad: $300,000. Total anual: $6,100,000.</w:t>
      </w:r>
    </w:p>
    <w:p>
      <w:pPr>
        <w:pStyle w:val="Heading3"/>
        <w:spacing w:lineRule="auto" w:line="360" w:before="0" w:after="0"/>
        <w:ind w:firstLine="0"/>
        <w:keepNext/>
      </w:pPr>
      <w:r>
        <w:rPr>
          <w:rFonts w:ascii="Times New Roman" w:hAnsi="Times New Roman"/>
          <w:sz w:val="24"/>
        </w:rPr>
        <w:t>Flujo de Costos a 5 Años</w:t>
      </w:r>
    </w:p>
    <w:p>
      <w:pPr>
        <w:spacing w:lineRule="auto" w:line="360" w:before="0" w:after="0"/>
        <w:ind w:firstLine="720"/>
      </w:pPr>
      <w:r>
        <w:rPr>
          <w:rFonts w:ascii="Times New Roman" w:hAnsi="Times New Roman"/>
          <w:sz w:val="24"/>
        </w:rPr>
        <w:t>Año 0: -$13,970,000. Año 1: -$6,100,000. Año 2: -$6,100,000. Año 3: -$6,300,000. Año 4: -$6,100,000. Año 5: -$6,500,000.</w:t>
      </w:r>
    </w:p>
    <w:p>
      <w:pPr>
        <w:pStyle w:val="Heading2"/>
        <w:spacing w:lineRule="auto" w:line="360" w:before="0" w:after="0"/>
        <w:ind w:firstLine="0"/>
        <w:keepNext/>
      </w:pPr>
      <w:r>
        <w:rPr>
          <w:rFonts w:ascii="Times New Roman" w:hAnsi="Times New Roman"/>
          <w:sz w:val="24"/>
        </w:rPr>
        <w:t>Cálculo del VAN</w:t>
      </w:r>
    </w:p>
    <w:p>
      <w:pPr>
        <w:spacing w:lineRule="auto" w:line="360" w:before="0" w:after="0"/>
        <w:ind w:firstLine="720"/>
      </w:pPr>
      <w:r>
        <w:rPr>
          <w:rFonts w:ascii="Times New Roman" w:hAnsi="Times New Roman"/>
          <w:sz w:val="24"/>
        </w:rPr>
        <w:t>Tasa de descuento (WACC): 6.5%. Beneficios anuales estimados: $6,500,000 (reducción costos regulatorios $2M, eficiencia reciclaje $1.5M, datos trazabilidad $1M, reducción multas $1.5M, beneficios fiscales $500K).</w:t>
      </w:r>
    </w:p>
    <w:p>
      <w:pPr>
        <w:spacing w:lineRule="auto" w:line="360" w:before="0" w:after="0"/>
        <w:ind w:firstLine="720"/>
      </w:pPr>
      <w:r>
        <w:rPr>
          <w:rFonts w:ascii="Times New Roman" w:hAnsi="Times New Roman"/>
          <w:sz w:val="24"/>
        </w:rPr>
        <w:t>VAN = -$13,970,000 + ($400,000/1.065) + ($400,000/1.065²) + ($200,000/1.065³) + ($400,000/1.065⁴) + ($0/1.065⁵) = -$12,764,743</w:t>
      </w:r>
    </w:p>
    <w:p>
      <w:pPr>
        <w:spacing w:lineRule="auto" w:line="360" w:before="0" w:after="0"/>
        <w:ind w:firstLine="720"/>
      </w:pPr>
      <w:r>
        <w:rPr>
          <w:rFonts w:ascii="Times New Roman" w:hAnsi="Times New Roman"/>
          <w:sz w:val="24"/>
        </w:rPr>
        <w:t>El VAN negativo refleja que los beneficios financieros directos no cubren la inversión en 5 años. Sin embargo, los beneficios intangibles (reputación, cumplimiento regulatorio evitando multas de hasta $50M+, ventaja competitiva, atracción de inversión ESG) justifican estratégicamente el proyecto. Si se incorporan $10M anuales por valor de marca, el VAN sería positivo.</w:t>
      </w:r>
    </w:p>
    <w:p>
      <w:pPr>
        <w:pStyle w:val="Heading2"/>
        <w:spacing w:lineRule="auto" w:line="360" w:before="0" w:after="0"/>
        <w:ind w:firstLine="0"/>
        <w:keepNext/>
      </w:pPr>
      <w:r>
        <w:rPr>
          <w:rFonts w:ascii="Times New Roman" w:hAnsi="Times New Roman"/>
          <w:sz w:val="24"/>
        </w:rPr>
        <w:t>Estudio Legal</w:t>
      </w:r>
    </w:p>
    <w:p>
      <w:pPr>
        <w:pStyle w:val="Heading3"/>
        <w:spacing w:lineRule="auto" w:line="360" w:before="0" w:after="0"/>
        <w:ind w:firstLine="0"/>
        <w:keepNext/>
      </w:pPr>
      <w:r>
        <w:rPr>
          <w:rFonts w:ascii="Times New Roman" w:hAnsi="Times New Roman"/>
          <w:sz w:val="24"/>
        </w:rPr>
        <w:t>Normativa Internacional</w:t>
      </w:r>
    </w:p>
    <w:p>
      <w:pPr>
        <w:spacing w:lineRule="auto" w:line="360" w:before="0" w:after="0"/>
        <w:ind w:firstLine="720"/>
      </w:pPr>
      <w:r>
        <w:rPr>
          <w:rFonts w:ascii="Times New Roman" w:hAnsi="Times New Roman"/>
          <w:sz w:val="24"/>
        </w:rPr>
        <w:t>ISO 14001:2015 (Gestión Ambiental), ISO 26000 (Responsabilidad Social), ISO 20400 (Compras Sostenibles), Global Reporting Initiative (GRI), Pacto Mundial de la ONU, Acuerdo de París.</w:t>
      </w:r>
    </w:p>
    <w:p>
      <w:pPr>
        <w:pStyle w:val="Heading3"/>
        <w:spacing w:lineRule="auto" w:line="360" w:before="0" w:after="0"/>
        <w:ind w:firstLine="0"/>
        <w:keepNext/>
      </w:pPr>
      <w:r>
        <w:rPr>
          <w:rFonts w:ascii="Times New Roman" w:hAnsi="Times New Roman"/>
          <w:sz w:val="24"/>
        </w:rPr>
        <w:t>Normativa Regional y Local</w:t>
      </w:r>
    </w:p>
    <w:p>
      <w:pPr>
        <w:spacing w:lineRule="auto" w:line="360" w:before="0" w:after="0"/>
        <w:ind w:firstLine="720"/>
      </w:pPr>
      <w:r>
        <w:rPr>
          <w:rFonts w:ascii="Times New Roman" w:hAnsi="Times New Roman"/>
          <w:sz w:val="24"/>
        </w:rPr>
        <w:t>Directiva 2019/904 UE (plásticos de un solo uso: 25% reciclado en botellas PET para 2025, 30% para 2030), Leyes de Responsabilidad Extendida del Productor (REP) en Chile, Colombia, Perú y México, GDPR (Europa), CCPA (California).</w:t>
      </w:r>
    </w:p>
    <w:p>
      <w:pPr>
        <w:pStyle w:val="Heading3"/>
        <w:spacing w:lineRule="auto" w:line="360" w:before="0" w:after="0"/>
        <w:ind w:firstLine="0"/>
        <w:keepNext/>
      </w:pPr>
      <w:r>
        <w:rPr>
          <w:rFonts w:ascii="Times New Roman" w:hAnsi="Times New Roman"/>
          <w:sz w:val="24"/>
        </w:rPr>
        <w:t>Estándares y Mejores Prácticas</w:t>
      </w:r>
    </w:p>
    <w:p>
      <w:pPr>
        <w:spacing w:lineRule="auto" w:line="360" w:before="0" w:after="0"/>
        <w:ind w:firstLine="720"/>
      </w:pPr>
      <w:r>
        <w:rPr>
          <w:rFonts w:ascii="Times New Roman" w:hAnsi="Times New Roman"/>
          <w:sz w:val="24"/>
        </w:rPr>
        <w:t>Estándar ERC para certificación de reciclaje, Protocolo GHG, ISO 14064, ISO 14046, estándares WBCSD.</w:t>
      </w:r>
    </w:p>
    <w:p>
      <w:pPr>
        <w:pStyle w:val="Heading1"/>
        <w:spacing w:lineRule="auto" w:line="360" w:before="0" w:after="0"/>
        <w:ind w:firstLine="0"/>
        <w:keepNext/>
      </w:pPr>
      <w:r>
        <w:rPr>
          <w:rFonts w:ascii="Times New Roman" w:hAnsi="Times New Roman"/>
          <w:sz w:val="24"/>
        </w:rPr>
        <w:t>Entregable 5: Acta de Constitución, Interesados, EDT y Alcance</w:t>
      </w:r>
    </w:p>
    <w:p>
      <w:pPr>
        <w:pStyle w:val="Heading2"/>
        <w:spacing w:lineRule="auto" w:line="360" w:before="0" w:after="0"/>
        <w:ind w:firstLine="0"/>
        <w:keepNext/>
      </w:pPr>
      <w:r>
        <w:rPr>
          <w:rFonts w:ascii="Times New Roman" w:hAnsi="Times New Roman"/>
          <w:sz w:val="24"/>
        </w:rPr>
        <w:t>Acta de Constitución del Proyecto</w:t>
      </w:r>
    </w:p>
    <w:p>
      <w:pPr>
        <w:spacing w:lineRule="auto" w:line="360" w:before="0" w:after="0"/>
        <w:ind w:firstLine="720"/>
      </w:pPr>
      <w:r>
        <w:rPr>
          <w:rFonts w:ascii="Times New Roman" w:hAnsi="Times New Roman"/>
          <w:sz w:val="24"/>
        </w:rPr>
        <w:t>Nombre: Plataforma Global de Trazabilidad Circular con Blockchain para The Coca-Cola Company. Patrocinador: Director Global de Sostenibilidad. Fecha: 1 de enero 2026 al 30 de junio 2027 (18 meses). Presupuesto: $13,970,000.</w:t>
      </w:r>
    </w:p>
    <w:p>
      <w:pPr>
        <w:spacing w:lineRule="auto" w:line="360" w:before="0" w:after="0"/>
        <w:ind w:firstLine="720"/>
      </w:pPr>
      <w:r>
        <w:rPr>
          <w:rFonts w:ascii="Times New Roman" w:hAnsi="Times New Roman"/>
          <w:sz w:val="24"/>
        </w:rPr>
        <w:t>Justificación: Coca-Cola produce ~200,000 botellas/minuto y ha sido señalada como el mayor contaminador de plástico. Actualmente no existe un sistema integrado que verifique de manera transparente el ciclo de vida completo de cada envase.</w:t>
      </w:r>
    </w:p>
    <w:p>
      <w:pPr>
        <w:spacing w:lineRule="auto" w:line="360" w:before="0" w:after="0"/>
        <w:ind w:firstLine="720"/>
      </w:pPr>
      <w:r>
        <w:rPr>
          <w:rFonts w:ascii="Times New Roman" w:hAnsi="Times New Roman"/>
          <w:sz w:val="24"/>
        </w:rPr>
        <w:t>Objetivo: Implementar una plataforma global blockchain que registre, verifique y reporte el ciclo de vida completo de los envases de Coca-Cola.</w:t>
      </w:r>
    </w:p>
    <w:p>
      <w:pPr>
        <w:spacing w:lineRule="auto" w:line="360" w:before="0" w:after="0"/>
        <w:ind w:firstLine="720"/>
      </w:pPr>
      <w:r>
        <w:rPr>
          <w:rFonts w:ascii="Times New Roman" w:hAnsi="Times New Roman"/>
          <w:sz w:val="24"/>
        </w:rPr>
        <w:t>Hitos: (1) Planificación (mes 1-2); (2) MVP blockchain (mes 3-5); (3) Integración IoT/ERP (mes 6-8); (4) Piloto en 3 países (mes 9-11); (5) Despliegue en 20 países (mes 12-15); (6) Capacitación y cierre (mes 16-18).</w:t>
      </w:r>
    </w:p>
    <w:p>
      <w:pPr>
        <w:spacing w:lineRule="auto" w:line="360" w:before="0" w:after="0"/>
        <w:ind w:firstLine="720"/>
      </w:pPr>
      <w:r>
        <w:rPr>
          <w:rFonts w:ascii="Times New Roman" w:hAnsi="Times New Roman"/>
          <w:sz w:val="24"/>
        </w:rPr>
        <w:t>Factores críticos de éxito: compromiso del patrocinador, talento blockchain, cooperación de recicladores, integración SAP, adopción por consumidores.</w:t>
      </w:r>
    </w:p>
    <w:p>
      <w:pPr>
        <w:pStyle w:val="Heading2"/>
        <w:spacing w:lineRule="auto" w:line="360" w:before="0" w:after="0"/>
        <w:ind w:firstLine="0"/>
        <w:keepNext/>
      </w:pPr>
      <w:r>
        <w:rPr>
          <w:rFonts w:ascii="Times New Roman" w:hAnsi="Times New Roman"/>
          <w:sz w:val="24"/>
        </w:rPr>
        <w:t>Identificación de los Interesados</w:t>
      </w:r>
    </w:p>
    <w:p>
      <w:pPr>
        <w:spacing w:lineRule="auto" w:line="360" w:before="0" w:after="0"/>
        <w:ind w:firstLine="720"/>
      </w:pPr>
      <w:r>
        <w:rPr>
          <w:rFonts w:ascii="Times New Roman" w:hAnsi="Times New Roman"/>
          <w:sz w:val="24"/>
        </w:rPr>
        <w:t>1. Director Global de Sostenibilidad (patrocinador) - Interno, alto poder, alto interés. 2. VP Global de TI - Interno, alto poder, alto interés. 3. Directores Regionales de Operaciones - Interno, alto poder, medio interés. 4. Gerentes de Planta (20 países) - Interno, medio poder, alto interés. 5. Consumidores finales - Externo, bajo poder, medio interés. 6. ONGs ambientales - Externo, medio poder, alto interés. 7. Reguladores gubernamentales - Externo, alto poder, medio interés. 8. Recicladores y socios - Externo, bajo poder, alto interés. 9. Accionistas e inversores - Externo, alto poder, alto interés. 10. Empleados y sindicatos - Interno, bajo poder, medio interés. 11. Competidores (PepsiCo, Nestlé) - Externo, bajo poder, bajo interés. 12. Medios de comunicación - Externo, medio poder, medio interés.</w:t>
      </w:r>
    </w:p>
    <w:p>
      <w:pPr>
        <w:pStyle w:val="Heading2"/>
        <w:spacing w:lineRule="auto" w:line="360" w:before="0" w:after="0"/>
        <w:ind w:firstLine="0"/>
        <w:keepNext/>
      </w:pPr>
      <w:r>
        <w:rPr>
          <w:rFonts w:ascii="Times New Roman" w:hAnsi="Times New Roman"/>
          <w:sz w:val="24"/>
        </w:rPr>
        <w:t>Matriz de Poder-Interés</w:t>
      </w:r>
    </w:p>
    <w:p>
      <w:pPr>
        <w:spacing w:lineRule="auto" w:line="360" w:before="0" w:after="0"/>
        <w:ind w:firstLine="720"/>
      </w:pPr>
      <w:r>
        <w:rPr>
          <w:rFonts w:ascii="Times New Roman" w:hAnsi="Times New Roman"/>
          <w:sz w:val="24"/>
        </w:rPr>
        <w:t>Alto poder - Alto interés (gestionar atentamente): Director de Sostenibilidad, VP TI, accionistas. Alto poder - Bajo interés (mantener satisfechos): Directores Regionales, reguladores. Bajo poder - Alto interés (mantener informados): Gerentes planta, ONGs, consumidores, recicladores. Bajo poder - Bajo interés (monitorear): competidores, medios genéricos.</w:t>
      </w:r>
    </w:p>
    <w:p>
      <w:pPr>
        <w:pStyle w:val="Heading2"/>
        <w:spacing w:lineRule="auto" w:line="360" w:before="0" w:after="0"/>
        <w:ind w:firstLine="0"/>
        <w:keepNext/>
      </w:pPr>
      <w:r>
        <w:rPr>
          <w:rFonts w:ascii="Times New Roman" w:hAnsi="Times New Roman"/>
          <w:sz w:val="24"/>
        </w:rPr>
        <w:t>Matriz de Rastreabilidad Preliminar</w:t>
      </w:r>
    </w:p>
    <w:p>
      <w:pPr>
        <w:spacing w:lineRule="auto" w:line="360" w:before="0" w:after="0"/>
        <w:ind w:firstLine="720"/>
      </w:pPr>
      <w:r>
        <w:rPr>
          <w:rFonts w:ascii="Times New Roman" w:hAnsi="Times New Roman"/>
          <w:sz w:val="24"/>
        </w:rPr>
        <w:t>Req-01 (Registro inmutable) -&gt; OE1 (Sostenibilidad) -&gt; Módulo blockchain. Req-02 (Verificación QR) -&gt; OE2 (Transformación digital) -&gt; App móvil. Req-03 (Dashboard ESG) -&gt; OE1/OE5 -&gt; Portal de reportes. Req-04 (Integración SAP) -&gt; OE5 (Excelencia) -&gt; APIs. Req-05 (Sensores IoT) -&gt; OE1 -&gt; Red de sensores. Req-06 (Reportes regulatorios) -&gt; OE1/OE3 -&gt; Módulo de cumplimiento. Req-07 (Capacitación) -&gt; OE2 -&gt; Programa de capacitación.</w:t>
      </w:r>
    </w:p>
    <w:p>
      <w:pPr>
        <w:pStyle w:val="Heading2"/>
        <w:spacing w:lineRule="auto" w:line="360" w:before="0" w:after="0"/>
        <w:ind w:firstLine="0"/>
        <w:keepNext/>
      </w:pPr>
      <w:r>
        <w:rPr>
          <w:rFonts w:ascii="Times New Roman" w:hAnsi="Times New Roman"/>
          <w:sz w:val="24"/>
        </w:rPr>
        <w:t>Estructura de Desglose del Trabajo (EDT/WBS)</w:t>
      </w:r>
    </w:p>
    <w:p>
      <w:pPr>
        <w:spacing w:lineRule="auto" w:line="360" w:before="0" w:after="0"/>
        <w:ind w:firstLine="720"/>
      </w:pPr>
      <w:r>
        <w:rPr>
          <w:rFonts w:ascii="Times New Roman" w:hAnsi="Times New Roman"/>
          <w:sz w:val="24"/>
        </w:rPr>
        <w:t>1.1 Gestión del Proyecto (1.1.1 Planificación, 1.1.2 Seguimiento, 1.1.3 Cierre)</w:t>
        <w:br/>
        <w:t>1.2 Desarrollo de Plataforma Blockchain (1.2.1 Diseño arquitectura, 1.2.2 Smart contracts, 1.2.3 APIs, 1.2.4 Pruebas)</w:t>
        <w:br/>
        <w:t>1.3 Integración IoT (1.3.1 Selección hardware, 1.3.2 Instalación plantas, 1.3.3 Integración blockchain)</w:t>
        <w:br/>
        <w:t>1.4 Aplicación Móvil (1.4.1 Diseño UX/UI, 1.4.2 Desarrollo iOS/Android, 1.4.3 Integración QR)</w:t>
        <w:br/>
        <w:t>1.5 Dashboard ESG (1.5.1 KPIs, 1.5.2 Visualizaciones, 1.5.3 Integración datos)</w:t>
        <w:br/>
        <w:t>1.6 Capacitación y Cambio (1.6.1 Materiales, 1.6.2 Talleres, 1.6.3 Soporte post-implementación)</w:t>
      </w:r>
    </w:p>
    <w:p>
      <w:pPr>
        <w:pStyle w:val="Heading2"/>
        <w:spacing w:lineRule="auto" w:line="360" w:before="0" w:after="0"/>
        <w:ind w:firstLine="0"/>
        <w:keepNext/>
      </w:pPr>
      <w:r>
        <w:rPr>
          <w:rFonts w:ascii="Times New Roman" w:hAnsi="Times New Roman"/>
          <w:sz w:val="24"/>
        </w:rPr>
        <w:t>Diccionario de la EDT - Ejemplos</w:t>
      </w:r>
    </w:p>
    <w:p>
      <w:pPr>
        <w:spacing w:lineRule="auto" w:line="360" w:before="0" w:after="0"/>
        <w:ind w:firstLine="720"/>
      </w:pPr>
      <w:r>
        <w:rPr>
          <w:rFonts w:ascii="Times New Roman" w:hAnsi="Times New Roman"/>
          <w:sz w:val="24"/>
        </w:rPr>
        <w:t>Ejemplo 1 - ID 1.2.2 Desarrollo de Smart Contracts: Creación de contratos inteligentes Hyperledger Fabric para registrar el ciclo de vida de envases. Responsable: Líder Desarrollo Blockchain. Duración: 3 meses. Costo: $1,200,000. Recursos: 5 desarrolladores senior blockchain, 1 arquitecto. Criterios: (a) smart contracts en red de pruebas; (b) latencia &lt;2 segundos; (c) auditoría de seguridad aprobada.</w:t>
      </w:r>
    </w:p>
    <w:p>
      <w:pPr>
        <w:spacing w:lineRule="auto" w:line="360" w:before="0" w:after="0"/>
        <w:ind w:firstLine="720"/>
      </w:pPr>
      <w:r>
        <w:rPr>
          <w:rFonts w:ascii="Times New Roman" w:hAnsi="Times New Roman"/>
          <w:sz w:val="24"/>
        </w:rPr>
        <w:t>Ejemplo 2 - ID 1.4.1 Diseño UX/UI App Consumidor: Diseño de interfaz para escaneo QR y verificación de trazabilidad. Responsable: Líder Diseño UX. Duración: 2 meses. Costo: $180,000. Recursos: 1 diseñador UX, 1 UI, 1 investigador. Criterios: (a) prototipo aprobado por stakeholders; (b) usabilidad &gt;85%; (c) diseño responsive iOS/Android.</w:t>
      </w:r>
    </w:p>
    <w:p>
      <w:pPr>
        <w:pStyle w:val="Heading2"/>
        <w:spacing w:lineRule="auto" w:line="360" w:before="0" w:after="0"/>
        <w:ind w:firstLine="0"/>
        <w:keepNext/>
      </w:pPr>
      <w:r>
        <w:rPr>
          <w:rFonts w:ascii="Times New Roman" w:hAnsi="Times New Roman"/>
          <w:sz w:val="24"/>
        </w:rPr>
        <w:t>Enunciado del Alcance</w:t>
      </w:r>
    </w:p>
    <w:p>
      <w:pPr>
        <w:spacing w:lineRule="auto" w:line="360" w:before="0" w:after="0"/>
        <w:ind w:firstLine="720"/>
      </w:pPr>
      <w:r>
        <w:rPr>
          <w:rFonts w:ascii="Times New Roman" w:hAnsi="Times New Roman"/>
          <w:sz w:val="24"/>
        </w:rPr>
        <w:t>El proyecto consiste en diseñar, desarrollar e implementar una plataforma global de trazabilidad circular basada en Hyperledger Fabric para Coca-Cola, registrando el ciclo de vida completo de cada envase, proporcionando transparencia verificable para consumidores, reguladores y grupos de interés.</w:t>
      </w:r>
    </w:p>
    <w:p>
      <w:pPr>
        <w:spacing w:lineRule="auto" w:line="360" w:before="0" w:after="0"/>
        <w:ind w:firstLine="720"/>
      </w:pPr>
      <w:r>
        <w:rPr>
          <w:rFonts w:ascii="Times New Roman" w:hAnsi="Times New Roman"/>
          <w:sz w:val="24"/>
        </w:rPr>
        <w:t>Incluye: (a) red blockchain con nodos distribuidos; (b) smart contracts para registro de eventos; (c) integración IoT en plantas y centros de reciclaje; (d) app móvil con escaneo QR; (e) dashboards ESG en tiempo real; (f) integración SAP ERP; (g) capacitación a 500 empleados en 20 países piloto.</w:t>
      </w:r>
    </w:p>
    <w:p>
      <w:pPr>
        <w:spacing w:lineRule="auto" w:line="360" w:before="0" w:after="0"/>
        <w:ind w:firstLine="720"/>
      </w:pPr>
      <w:r>
        <w:rPr>
          <w:rFonts w:ascii="Times New Roman" w:hAnsi="Times New Roman"/>
          <w:sz w:val="24"/>
        </w:rPr>
        <w:t>Excluye: (a) campañas de marketing externo; (b) implementación en más de 20 países en fase piloto; (c) sistemas de recompensa para consumidores; (d) modificación de procesos de producción no relacionados con trazabilidad.</w:t>
      </w:r>
    </w:p>
    <w:p>
      <w:pPr>
        <w:spacing w:lineRule="auto" w:line="360" w:before="0" w:after="0"/>
        <w:ind w:firstLine="720"/>
      </w:pPr>
      <w:r>
        <w:rPr>
          <w:rFonts w:ascii="Times New Roman" w:hAnsi="Times New Roman"/>
          <w:sz w:val="24"/>
        </w:rPr>
        <w:t>Criterios de aceptación: (a) 200,000 transacciones/minuto; (b) disponibilidad 99.99%; (c) integración SAP en 20 países; (d) app con calificación 4.5+ estrellas; (e) 95% de empleados capacitados aprueban evaluación.</w:t>
      </w:r>
    </w:p>
    <w:p>
      <w:pPr>
        <w:pStyle w:val="Heading1"/>
        <w:spacing w:lineRule="auto" w:line="360" w:before="0" w:after="0"/>
        <w:ind w:firstLine="0"/>
        <w:keepNext/>
      </w:pPr>
      <w:r>
        <w:rPr>
          <w:rFonts w:ascii="Times New Roman" w:hAnsi="Times New Roman"/>
          <w:sz w:val="24"/>
        </w:rPr>
        <w:t>Conclusiones Generales</w:t>
      </w:r>
    </w:p>
    <w:p>
      <w:pPr>
        <w:spacing w:lineRule="auto" w:line="360" w:before="0" w:after="0"/>
        <w:ind w:firstLine="720"/>
      </w:pPr>
      <w:r>
        <w:rPr>
          <w:rFonts w:ascii="Times New Roman" w:hAnsi="Times New Roman"/>
          <w:sz w:val="24"/>
        </w:rPr>
        <w:t>El presente proyecto integra los cinco entregables de la asignatura Técnicas de Formulación de Proyectos, desarrollando una propuesta completa para la implementación de una Plataforma Global de Trazabilidad Circular con Blockchain en The Coca-Cola Company. Se definió el alineamiento estratégico con mejoras a la misión y visión, se realizaron los análisis externo e interno, se identificaron objetivos estratégicos y necesidades de TI, se realizó un estudio de mercado, técnico y legal, y se completó la documentación de gestión del proyecto incluyendo acta de constitución, identificación de interesados, EDT y enunciado del alcance.</w:t>
      </w:r>
    </w:p>
    <w:p>
      <w:pPr>
        <w:spacing w:lineRule="auto" w:line="360" w:before="0" w:after="0"/>
        <w:ind w:firstLine="720"/>
      </w:pPr>
      <w:r>
        <w:rPr>
          <w:rFonts w:ascii="Times New Roman" w:hAnsi="Times New Roman"/>
          <w:sz w:val="24"/>
        </w:rPr>
        <w:t>El proyecto aborda la necesidad crítica de Coca-Cola de demostrar transparencia en el reciclaje de sus envases, alineándose con su compromiso 'World Without Waste' y las crecientes presiones regulatorias y reputacionales. Aunque el VAN financiero resulta negativo en el horizonte de 5 años, los beneficios intangibles en reputación, cumplimiento regulatorio y ventaja competitiva justifican estratégicamente su implementación.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0"/>
      <w:jc w:val="lef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360"/>
      <w:ind w:firstLine="0"/>
      <w:jc w:val="center"/>
      <w:outlineLvl w:val="1"/>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Rule="auto" w:line="360"/>
      <w:ind w:firstLine="0"/>
      <w:jc w:val="left"/>
      <w:outlineLvl w:val="2"/>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Rule="auto" w:line="360"/>
      <w:ind w:firstLine="0"/>
      <w:jc w:val="left"/>
      <w:outlineLvl w:val="3"/>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