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240" w:before="0" w:after="0"/>
      </w:pPr>
      <w:r>
        <w:rPr>
          <w:rFonts w:ascii="Century Gothic" w:hAnsi="Century Gothic"/>
          <w:sz w:val="20"/>
        </w:rPr>
      </w:r>
    </w:p>
    <w:p>
      <w:pPr>
        <w:spacing w:lineRule="auto" w:line="240" w:before="0" w:after="0"/>
      </w:pPr>
      <w:r>
        <w:rPr>
          <w:rFonts w:ascii="Century Gothic" w:hAnsi="Century Gothic"/>
          <w:sz w:val="20"/>
        </w:rPr>
      </w:r>
    </w:p>
    <w:p>
      <w:pPr>
        <w:spacing w:lineRule="auto" w:line="240" w:before="0" w:after="0"/>
      </w:pPr>
      <w:r>
        <w:rPr>
          <w:rFonts w:ascii="Century Gothic" w:hAnsi="Century Gothic"/>
          <w:sz w:val="20"/>
        </w:rPr>
      </w:r>
    </w:p>
    <w:p>
      <w:pPr>
        <w:spacing w:lineRule="auto" w:line="240" w:before="0" w:after="0"/>
        <w:ind w:firstLine="0"/>
        <w:jc w:val="center"/>
      </w:pPr>
      <w:r>
        <w:rPr>
          <w:rFonts w:ascii="Century Gothic" w:hAnsi="Century Gothic"/>
          <w:b/>
          <w:i w:val="0"/>
          <w:sz w:val="20"/>
        </w:rPr>
        <w:t>Metodologías de Formulación y Evaluación de Proyectos de Inversión: Un Análisis Comparativo de Enfoques Tradicionales y Ágiles</w:t>
      </w:r>
    </w:p>
    <w:p>
      <w:pPr>
        <w:spacing w:lineRule="auto" w:line="240" w:before="0" w:after="0"/>
        <w:jc w:val="center"/>
      </w:pPr>
    </w:p>
    <w:p>
      <w:pPr>
        <w:spacing w:lineRule="auto" w:line="240" w:before="0" w:after="0"/>
        <w:jc w:val="center"/>
      </w:pPr>
      <w:r>
        <w:rPr>
          <w:rFonts w:ascii="Century Gothic" w:hAnsi="Century Gothic"/>
          <w:b w:val="0"/>
          <w:i w:val="0"/>
          <w:sz w:val="20"/>
        </w:rPr>
        <w:t>Alex Joan Roblero Quiros, Roberto Benavente Jimenez y Carlos Gutierrez Barrios</w:t>
      </w:r>
    </w:p>
    <w:p>
      <w:pPr>
        <w:spacing w:lineRule="auto" w:line="240" w:before="0" w:after="0"/>
        <w:jc w:val="center"/>
      </w:pPr>
      <w:r>
        <w:rPr>
          <w:rFonts w:ascii="Century Gothic" w:hAnsi="Century Gothic"/>
          <w:b w:val="0"/>
          <w:i w:val="0"/>
          <w:sz w:val="20"/>
        </w:rPr>
        <w:t>Universidad Americana de Europa (UNADE)</w:t>
      </w:r>
    </w:p>
    <w:p>
      <w:pPr>
        <w:spacing w:lineRule="auto" w:line="240" w:before="0" w:after="0"/>
        <w:jc w:val="center"/>
      </w:pPr>
      <w:r>
        <w:rPr>
          <w:rFonts w:ascii="Century Gothic" w:hAnsi="Century Gothic"/>
          <w:b w:val="0"/>
          <w:i w:val="0"/>
          <w:sz w:val="20"/>
        </w:rPr>
        <w:t>Curso: Técnicas de Formulación de Proyectos</w:t>
      </w:r>
    </w:p>
    <w:p>
      <w:pPr>
        <w:spacing w:lineRule="auto" w:line="240" w:before="0" w:after="0"/>
        <w:jc w:val="center"/>
      </w:pPr>
      <w:r>
        <w:rPr>
          <w:rFonts w:ascii="Century Gothic" w:hAnsi="Century Gothic"/>
          <w:b w:val="0"/>
          <w:i w:val="0"/>
          <w:sz w:val="20"/>
        </w:rPr>
        <w:t>Prof. Asignado</w:t>
      </w:r>
    </w:p>
    <w:p>
      <w:pPr>
        <w:spacing w:lineRule="auto" w:line="240" w:before="0" w:after="0"/>
        <w:jc w:val="center"/>
      </w:pPr>
      <w:r>
        <w:rPr>
          <w:rFonts w:ascii="Century Gothic" w:hAnsi="Century Gothic"/>
          <w:b w:val="0"/>
          <w:i w:val="0"/>
          <w:sz w:val="20"/>
        </w:rPr>
        <w:t>27 de June de 2026</w:t>
      </w:r>
    </w:p>
    <w:p>
      <w:r>
        <w:br w:type="page"/>
      </w:r>
    </w:p>
    <w:p>
      <w:pPr>
        <w:spacing w:lineRule="auto" w:line="240" w:before="0" w:after="0"/>
        <w:ind w:firstLine="0"/>
        <w:jc w:val="center"/>
      </w:pPr>
      <w:r>
        <w:rPr>
          <w:rFonts w:ascii="Century Gothic" w:hAnsi="Century Gothic"/>
          <w:b/>
          <w:i w:val="0"/>
          <w:sz w:val="20"/>
        </w:rPr>
        <w:t>Resumen</w:t>
      </w:r>
    </w:p>
    <w:p>
      <w:pPr>
        <w:spacing w:lineRule="auto" w:line="240" w:before="0" w:after="0"/>
        <w:ind w:firstLine="0"/>
        <w:jc w:val="left"/>
      </w:pPr>
      <w:r>
        <w:rPr>
          <w:rFonts w:ascii="Century Gothic" w:hAnsi="Century Gothic"/>
          <w:b w:val="0"/>
          <w:i w:val="0"/>
          <w:sz w:val="20"/>
        </w:rPr>
        <w:t>El presente documento analiza las principales metodologías de formulación y evaluación de proyectos de inversión, contrastando los enfoques tradicionales (PMBOK, Metodología Marco Lógico) con las metodologías ágiles (Scrum, Kanban). Se examinan los fundamentos teóricos, las etapas del ciclo de vida del proyecto, los criterios de evaluación financiera y las técnicas de gestión de riesgos. A través de un análisis comparativo, se identifican las fortalezas y debilidades de cada enfoque según el tipo de proyecto, el contexto organizacional y los objetivos estratégicos. Los resultados sugieren que la combinación híbrida de metodologías ofrece mayores probabilidades de éxito en entornos dinámicos y de alta incertidumbre.</w:t>
      </w:r>
    </w:p>
    <w:p>
      <w:pPr>
        <w:spacing w:lineRule="auto" w:line="240" w:before="0" w:after="0"/>
        <w:ind w:firstLine="720"/>
        <w:jc w:val="left"/>
      </w:pPr>
      <w:r>
        <w:rPr>
          <w:rFonts w:ascii="Century Gothic" w:hAnsi="Century Gothic"/>
          <w:i/>
          <w:sz w:val="20"/>
        </w:rPr>
        <w:t xml:space="preserve">Palabras clave: </w:t>
      </w:r>
      <w:r>
        <w:rPr>
          <w:rFonts w:ascii="Century Gothic" w:hAnsi="Century Gothic"/>
          <w:i/>
          <w:sz w:val="20"/>
        </w:rPr>
        <w:t>formulación de proyectos, evaluación de inversiones, PMBOK, metodologías ágiles, Marco Lógico, gestión de proyectos, Scrum</w:t>
      </w:r>
    </w:p>
    <w:p>
      <w:r>
        <w:br w:type="page"/>
      </w:r>
    </w:p>
    <w:p>
      <w:pPr>
        <w:pStyle w:val="Heading1"/>
        <w:spacing w:lineRule="auto" w:line="240" w:before="0" w:after="0"/>
        <w:ind w:firstLine="0"/>
        <w:keepNext/>
      </w:pPr>
      <w:r>
        <w:rPr>
          <w:rFonts w:ascii="Century Gothic" w:hAnsi="Century Gothic"/>
          <w:sz w:val="20"/>
        </w:rPr>
        <w:t>Introducción</w:t>
      </w:r>
    </w:p>
    <w:p>
      <w:pPr>
        <w:spacing w:lineRule="auto" w:line="240" w:before="0" w:after="0"/>
        <w:ind w:firstLine="720"/>
        <w:jc w:val="left"/>
      </w:pPr>
      <w:r>
        <w:rPr>
          <w:rFonts w:ascii="Century Gothic" w:hAnsi="Century Gothic"/>
          <w:b w:val="0"/>
          <w:i w:val="0"/>
          <w:sz w:val="20"/>
        </w:rPr>
        <w:t>La formulación y evaluación de proyectos de inversión constituye un pilar fundamental en la gestión estratégica de las organizaciones contemporáneas. En un entorno globalizado y altamente competitivo, la capacidad de identificar, estructurar y evaluar iniciativas de inversión de manera rigurosa determina en gran medida la sostenibilidad y el crecimiento de las empresas e instituciones. Este documento presenta un análisis exhaustivo de las principales metodologías empleadas en la formulación y evaluación de proyectos, abordando tanto los enfoques tradicionales que han dominado la práctica durante las últimas décadas como las metodologías ágiles que han ganado relevancia en contextos de alta incertidumbre y cambio tecnológico acelerado.</w:t>
      </w:r>
    </w:p>
    <w:p>
      <w:pPr>
        <w:spacing w:lineRule="auto" w:line="240" w:before="0" w:after="0"/>
        <w:ind w:firstLine="720"/>
        <w:jc w:val="left"/>
      </w:pPr>
      <w:r>
        <w:rPr>
          <w:rFonts w:ascii="Century Gothic" w:hAnsi="Century Gothic"/>
          <w:b w:val="0"/>
          <w:i w:val="0"/>
          <w:sz w:val="20"/>
        </w:rPr>
        <w:t>El estudio se estructura en seis secciones principales. La primera sección presenta el marco teórico y los fundamentos conceptuales de la formulación de proyectos. La segunda sección describe en detalle las metodologías tradicionales, incluyendo el Project Management Body of Knowledge (PMBOK) del Project Management Institute (PMI) y la Metodología de Marco Lógico (MML) ampliamente utilizada en proyectos de desarrollo y cooperación internacional. La tercera sección aborda las metodologías ágiles, con énfasis en Scrum, Kanban y sus adaptaciones para la gestión de proyectos de inversión. La cuarta sección presenta un análisis comparativo detallado, incluyendo una tabla de comparación de criterios clave. La quinta sección examina las tendencias emergentes y propuestas de integración híbrida, y finalmente, la sexta sección presenta las conclusiones y recomendaciones.</w:t>
      </w:r>
    </w:p>
    <w:p>
      <w:pPr>
        <w:spacing w:lineRule="auto" w:line="240" w:before="0" w:after="0"/>
        <w:ind w:firstLine="720"/>
        <w:jc w:val="left"/>
      </w:pPr>
      <w:r>
        <w:rPr>
          <w:rFonts w:ascii="Century Gothic" w:hAnsi="Century Gothic"/>
          <w:b w:val="0"/>
          <w:i w:val="0"/>
          <w:sz w:val="20"/>
        </w:rPr>
        <w:t>El alcance de esta investigación abarca proyectos de inversión en sectores productivos, de infraestructura, tecnología y desarrollo social, considerando las particularidades de cada contexto. Se ha realizado una revisión bibliográfica sistemática de fuentes académicas y profesionales publicadas entre 2010 y 2025, priorizando aquellas con mayor impacto y relevancia en el campo de la gestión de proyectos.</w:t>
      </w:r>
    </w:p>
    <w:p>
      <w:pPr>
        <w:pStyle w:val="Heading1"/>
        <w:spacing w:lineRule="auto" w:line="240" w:before="0" w:after="0"/>
        <w:ind w:firstLine="0"/>
        <w:keepNext/>
      </w:pPr>
      <w:r>
        <w:rPr>
          <w:rFonts w:ascii="Century Gothic" w:hAnsi="Century Gothic"/>
          <w:sz w:val="20"/>
        </w:rPr>
        <w:t>Marco Teórico</w:t>
      </w:r>
    </w:p>
    <w:p>
      <w:pPr>
        <w:pStyle w:val="Heading2"/>
        <w:spacing w:lineRule="auto" w:line="240" w:before="0" w:after="0"/>
        <w:ind w:firstLine="0"/>
        <w:keepNext/>
      </w:pPr>
      <w:r>
        <w:rPr>
          <w:rFonts w:ascii="Century Gothic" w:hAnsi="Century Gothic"/>
          <w:sz w:val="20"/>
        </w:rPr>
        <w:t>Conceptos Fundamentales De La Formulación De Proyectos</w:t>
      </w:r>
    </w:p>
    <w:p>
      <w:pPr>
        <w:spacing w:lineRule="auto" w:line="240" w:before="0" w:after="0"/>
        <w:ind w:firstLine="720"/>
        <w:jc w:val="left"/>
      </w:pPr>
      <w:r>
        <w:rPr>
          <w:rFonts w:ascii="Century Gothic" w:hAnsi="Century Gothic"/>
          <w:b w:val="0"/>
          <w:i w:val="0"/>
          <w:sz w:val="20"/>
        </w:rPr>
        <w:t>La formulación de proyectos se define como el proceso sistemático mediante el cual se identifica un problema u oportunidad, se analizan sus causas y consecuencias, se definen objetivos y metas, y se diseñan las estrategias y actividades necesarias para alcanzar los resultados esperados en un plazo determinado con recursos limitados (Cohen &amp; Franco, 2018). Este proceso implica la integración de múltiples dimensiones: técnica, económica, financiera, social, ambiental y organizacional.</w:t>
      </w:r>
    </w:p>
    <w:p>
      <w:pPr>
        <w:spacing w:lineRule="auto" w:line="240" w:before="0" w:after="0"/>
        <w:ind w:firstLine="720"/>
        <w:jc w:val="left"/>
      </w:pPr>
      <w:r>
        <w:rPr>
          <w:rFonts w:ascii="Century Gothic" w:hAnsi="Century Gothic"/>
          <w:b w:val="0"/>
          <w:i w:val="0"/>
          <w:sz w:val="20"/>
        </w:rPr>
        <w:t>El ciclo de vida de un proyecto comprende cuatro etapas principales: identificación, formulación, ejecución y evaluación. La etapa de formulación, objeto central de este estudio, incluye la definición del problema, el análisis de alternativas, la elaboración del estudio técnico, el estudio de mercado, el estudio organizacional y legal, así como la evaluación financiera y económica (Sapag Chain &amp; Sapag Chain, 2014). Cada una de estas fases requiere herramientas y técnicas específicas que han sido desarrolladas y refinadas a lo largo de décadas de práctica profesional.</w:t>
      </w:r>
    </w:p>
    <w:p>
      <w:pPr>
        <w:pStyle w:val="Heading2"/>
        <w:spacing w:lineRule="auto" w:line="240" w:before="0" w:after="0"/>
        <w:ind w:firstLine="0"/>
        <w:keepNext/>
      </w:pPr>
      <w:r>
        <w:rPr>
          <w:rFonts w:ascii="Century Gothic" w:hAnsi="Century Gothic"/>
          <w:sz w:val="20"/>
        </w:rPr>
        <w:t>Evaluación Financiera De Proyectos</w:t>
      </w:r>
    </w:p>
    <w:p>
      <w:pPr>
        <w:spacing w:lineRule="auto" w:line="240" w:before="0" w:after="0"/>
        <w:ind w:firstLine="720"/>
        <w:jc w:val="left"/>
      </w:pPr>
      <w:r>
        <w:rPr>
          <w:rFonts w:ascii="Century Gothic" w:hAnsi="Century Gothic"/>
          <w:b w:val="0"/>
          <w:i w:val="0"/>
          <w:sz w:val="20"/>
        </w:rPr>
        <w:t>La evaluación financiera constituye uno de los pilares de la formulación de proyectos, ya que permite determinar la viabilidad económica de una inversión. Los criterios más utilizados incluyen el Valor Actual Neto (VAN), la Tasa Interna de Retorno (TIR), el Período de Recuperación de la Inversión (PRI) y la Relación Beneficio-Costo (B/C). El VAN mide la diferencia entre el valor presente de los flujos de caja futuros y la inversión inicial, descontados a una tasa que refleja el costo de oportunidad del capital. Por su parte, la TIR representa la tasa de descuento que hace que el VAN sea igual a cero, indicando la rentabilidad intrínseca del proyecto (Brealey, Myers &amp; Allen, 2020).</w:t>
      </w:r>
    </w:p>
    <w:p>
      <w:pPr>
        <w:spacing w:lineRule="auto" w:line="240" w:before="0" w:after="0"/>
        <w:ind w:firstLine="720"/>
        <w:jc w:val="left"/>
      </w:pPr>
      <w:r>
        <w:rPr>
          <w:rFonts w:ascii="Century Gothic" w:hAnsi="Century Gothic"/>
          <w:b w:val="0"/>
          <w:i w:val="0"/>
          <w:sz w:val="20"/>
        </w:rPr>
        <w:t>Además de los criterios financieros cuantitativos, la evaluación integral de proyectos incorpora análisis de sensibilidad, análisis de escenarios y evaluación de riesgos. El análisis de sensibilidad permite identificar las variables críticas que más impactan en la rentabilidad del proyecto, mientras que el análisis de escenarios evalúa el comportamiento del proyecto bajo diferentes condiciones del entorno económico, político y social (Blank &amp; Tarquin, 2018).</w:t>
      </w:r>
    </w:p>
    <w:p>
      <w:pPr>
        <w:pStyle w:val="Heading2"/>
        <w:spacing w:lineRule="auto" w:line="240" w:before="0" w:after="0"/>
        <w:ind w:firstLine="0"/>
        <w:keepNext/>
      </w:pPr>
      <w:r>
        <w:rPr>
          <w:rFonts w:ascii="Century Gothic" w:hAnsi="Century Gothic"/>
          <w:sz w:val="20"/>
        </w:rPr>
        <w:t>Gestión De Riesgos En Proyectos</w:t>
      </w:r>
    </w:p>
    <w:p>
      <w:pPr>
        <w:spacing w:lineRule="auto" w:line="240" w:before="0" w:after="0"/>
        <w:ind w:firstLine="720"/>
        <w:jc w:val="left"/>
      </w:pPr>
      <w:r>
        <w:rPr>
          <w:rFonts w:ascii="Century Gothic" w:hAnsi="Century Gothic"/>
          <w:b w:val="0"/>
          <w:i w:val="0"/>
          <w:sz w:val="20"/>
        </w:rPr>
        <w:t>La gestión de riesgos es un componente esencial en la formulación de proyectos, particularmente en contextos de alta incertidumbre como los proyectos de innovación tecnológica o aquellos que operan en mercados emergentes. El PMBOK (PMI, 2021) define la gestión de riesgos como el proceso sistemático de identificar, analizar y responder a los riesgos del proyecto, maximizando la probabilidad y el impacto de eventos positivos y minimizando aquellos negativos. Este proceso incluye la planificación de la gestión de riesgos, la identificación de riesgos, el análisis cualitativo y cuantitativo, la planificación de respuestas y el monitoreo continuo.</w:t>
      </w:r>
    </w:p>
    <w:p>
      <w:pPr>
        <w:spacing w:lineRule="auto" w:line="240" w:before="0" w:after="0"/>
        <w:ind w:firstLine="720"/>
        <w:jc w:val="left"/>
      </w:pPr>
      <w:r>
        <w:rPr>
          <w:rFonts w:ascii="Century Gothic" w:hAnsi="Century Gothic"/>
          <w:b w:val="0"/>
          <w:i w:val="0"/>
          <w:sz w:val="20"/>
        </w:rPr>
        <w:t>Las metodologías ágiles han introducido enfoques innovadores para la gestión de riesgos, como los sprints cortos que permiten una detección temprana de desviaciones, las retrospectivas frecuentes que facilitan la mejora continua, y la priorización continua del backlog que permite adaptar el alcance del proyecto según los cambios del entorno (Schwaber &amp; Sutherland, 2020). Estos enfoques contrastan con los métodos tradicionales que tienden a realizar evaluaciones de riesgo al inicio del proyecto con actualizaciones periódicas menos frecuentes.</w:t>
      </w:r>
    </w:p>
    <w:p>
      <w:pPr>
        <w:pStyle w:val="Heading1"/>
        <w:spacing w:lineRule="auto" w:line="240" w:before="0" w:after="0"/>
        <w:ind w:firstLine="0"/>
        <w:keepNext/>
      </w:pPr>
      <w:r>
        <w:rPr>
          <w:rFonts w:ascii="Century Gothic" w:hAnsi="Century Gothic"/>
          <w:sz w:val="20"/>
        </w:rPr>
        <w:t>Metodologías Tradicionales De Formulación De Proyectos</w:t>
      </w:r>
    </w:p>
    <w:p>
      <w:pPr>
        <w:pStyle w:val="Heading2"/>
        <w:spacing w:lineRule="auto" w:line="240" w:before="0" w:after="0"/>
        <w:ind w:firstLine="0"/>
        <w:keepNext/>
      </w:pPr>
      <w:r>
        <w:rPr>
          <w:rFonts w:ascii="Century Gothic" w:hAnsi="Century Gothic"/>
          <w:sz w:val="20"/>
        </w:rPr>
        <w:t>Project Management Body of Knowledge (PMBOK)</w:t>
      </w:r>
    </w:p>
    <w:p>
      <w:pPr>
        <w:spacing w:lineRule="auto" w:line="240" w:before="0" w:after="0"/>
        <w:ind w:firstLine="720"/>
        <w:jc w:val="left"/>
      </w:pPr>
      <w:r>
        <w:rPr>
          <w:rFonts w:ascii="Century Gothic" w:hAnsi="Century Gothic"/>
          <w:b w:val="0"/>
          <w:i w:val="0"/>
          <w:sz w:val="20"/>
        </w:rPr>
        <w:t>El PMBOK, desarrollado por el Project Management Institute (PMI), constituye uno de los marcos de referencia más ampliamente reconocidos a nivel mundial para la gestión de proyectos. La séptima edición, publicada en 2021, introduce un cambio paradigmático al pasar de un enfoque basado en procesos a uno basado en principios, organizado alrededor de doce principios de gestión de proyectos y ocho dominios de desempeño. Entre estos dominios se incluyen los interesados, el equipo, el ciclo de vida, la planificación, el trabajo del proyecto, la entrega, la medición y la incertidumbre (PMI, 2021).</w:t>
      </w:r>
    </w:p>
    <w:p>
      <w:pPr>
        <w:spacing w:lineRule="auto" w:line="240" w:before="0" w:after="0"/>
        <w:ind w:firstLine="720"/>
        <w:jc w:val="left"/>
      </w:pPr>
      <w:r>
        <w:rPr>
          <w:rFonts w:ascii="Century Gothic" w:hAnsi="Century Gothic"/>
          <w:b w:val="0"/>
          <w:i w:val="0"/>
          <w:sz w:val="20"/>
        </w:rPr>
        <w:t>La estructura tradicional del PMBOK organiza la gestión de proyectos en cinco grupos de procesos: inicio, planificación, ejecución, monitoreo y control, y cierre. Estos grupos de procesos se aplican a lo largo de las diez áreas de conocimiento que incluyen la gestión de la integración, el alcance, el cronograma, los costos, la calidad, los recursos, las comunicaciones, los riesgos, las adquisiciones y los interesados. Cada área de conocimiento contiene procesos específicos con entradas, herramientas y técnicas, y salidas documentadas detalladamente.</w:t>
      </w:r>
    </w:p>
    <w:p>
      <w:pPr>
        <w:spacing w:lineRule="auto" w:line="240" w:before="0" w:after="0"/>
        <w:ind w:firstLine="720"/>
        <w:jc w:val="left"/>
      </w:pPr>
      <w:r>
        <w:rPr>
          <w:rFonts w:ascii="Century Gothic" w:hAnsi="Century Gothic"/>
          <w:b w:val="0"/>
          <w:i w:val="0"/>
          <w:sz w:val="20"/>
        </w:rPr>
        <w:t>Para proyectos de inversión en el sector público y privado, el PMBOK ofrece un marco robusto que permite estandarizar procesos, documentar lecciones aprendidas y facilitar la transferencia de conocimientos entre proyectos. Sin embargo, críticos señalan que su rigurosidad puede resultar excesiva para proyectos pequeños o aquellos que operan en entornos altamente volátiles donde los requisitos cambian rápidamente (Project Management Institute, 2021).</w:t>
      </w:r>
    </w:p>
    <w:p>
      <w:pPr>
        <w:pStyle w:val="Heading2"/>
        <w:spacing w:lineRule="auto" w:line="240" w:before="0" w:after="0"/>
        <w:ind w:firstLine="0"/>
        <w:keepNext/>
      </w:pPr>
      <w:r>
        <w:rPr>
          <w:rFonts w:ascii="Century Gothic" w:hAnsi="Century Gothic"/>
          <w:sz w:val="20"/>
        </w:rPr>
        <w:t>Metodología De Marco Lógico (MML)</w:t>
      </w:r>
    </w:p>
    <w:p>
      <w:pPr>
        <w:spacing w:lineRule="auto" w:line="240" w:before="0" w:after="0"/>
        <w:ind w:firstLine="720"/>
        <w:jc w:val="left"/>
      </w:pPr>
      <w:r>
        <w:rPr>
          <w:rFonts w:ascii="Century Gothic" w:hAnsi="Century Gothic"/>
          <w:b w:val="0"/>
          <w:i w:val="0"/>
          <w:sz w:val="20"/>
        </w:rPr>
        <w:t>La Metodología de Marco Lógico (MML) es una herramienta analítica desarrollada por la Agencia de los Estados Unidos para el Desarrollo Internacional (USAID) en la década de 1970, y posteriormente adoptada por numerosas agencias de cooperación internacional, bancos de desarrollo y organizaciones no gubernamentales. La MML proporciona una estructura sistemática para la planificación, ejecución y evaluación de proyectos, basada en la identificación de relaciones causales entre insumos, actividades, productos, resultados e impacto (Ortegón, Pacheco &amp; Prieto, 2015).</w:t>
      </w:r>
    </w:p>
    <w:p>
      <w:pPr>
        <w:spacing w:lineRule="auto" w:line="240" w:before="0" w:after="0"/>
        <w:ind w:firstLine="720"/>
        <w:jc w:val="left"/>
      </w:pPr>
      <w:r>
        <w:rPr>
          <w:rFonts w:ascii="Century Gothic" w:hAnsi="Century Gothic"/>
          <w:b w:val="0"/>
          <w:i w:val="0"/>
          <w:sz w:val="20"/>
        </w:rPr>
        <w:t>La matriz de marco lógico constituye el producto central de esta metodología, organizando la información del proyecto en una matriz de cuatro filas (objetivo general, objetivo específico, resultados y actividades) y cuatro columnas (resumen narrativo, indicadores verificables objetivamente, medios de verificación y supuestos). Esta estructura obliga a los formuladores de proyectos a explicitar las hipótesis causales subyacentes y a definir indicadores medibles que permitan verificar el logro de los objetivos en cada nivel (World Bank, 2018).</w:t>
      </w:r>
    </w:p>
    <w:p>
      <w:pPr>
        <w:spacing w:lineRule="auto" w:line="240" w:before="0" w:after="0"/>
        <w:ind w:firstLine="720"/>
        <w:jc w:val="left"/>
      </w:pPr>
      <w:r>
        <w:rPr>
          <w:rFonts w:ascii="Century Gothic" w:hAnsi="Century Gothic"/>
          <w:b w:val="0"/>
          <w:i w:val="0"/>
          <w:sz w:val="20"/>
        </w:rPr>
        <w:t>La MML ha demostrado ser particularmente efectiva en proyectos de desarrollo social, cooperación internacional y programas gubernamentales, donde los objetivos son multidimensionales y los resultados no siempre son directamente cuantificables en términos financieros. Sin embargo, entre sus limitaciones se señala su naturaleza estática, que dificulta la adaptación a cambios en el contexto durante la implementación del proyecto, así como su tendencia a simplificar relaciones causales complejas (Ortegón et al., 2015).</w:t>
      </w:r>
    </w:p>
    <w:p>
      <w:pPr>
        <w:pStyle w:val="Heading2"/>
        <w:spacing w:lineRule="auto" w:line="240" w:before="0" w:after="0"/>
        <w:ind w:firstLine="0"/>
        <w:keepNext/>
      </w:pPr>
      <w:r>
        <w:rPr>
          <w:rFonts w:ascii="Century Gothic" w:hAnsi="Century Gothic"/>
          <w:sz w:val="20"/>
        </w:rPr>
        <w:t>Enfoque Del Banco Interamericano De Desarrollo (BID)</w:t>
      </w:r>
    </w:p>
    <w:p>
      <w:pPr>
        <w:spacing w:lineRule="auto" w:line="240" w:before="0" w:after="0"/>
        <w:ind w:firstLine="720"/>
        <w:jc w:val="left"/>
      </w:pPr>
      <w:r>
        <w:rPr>
          <w:rFonts w:ascii="Century Gothic" w:hAnsi="Century Gothic"/>
          <w:b w:val="0"/>
          <w:i w:val="0"/>
          <w:sz w:val="20"/>
        </w:rPr>
        <w:t>El Banco Interamericano de Desarrollo (BID) ha desarrollado su propio marco metodológico para la formulación y evaluación de proyectos de inversión, integrando elementos del Marco Lógico con herramientas de análisis económico y social. La metodología del BID enfatiza la identificación de fallas de mercado que justifican la intervención pública, el análisis de alternativas, la evaluación económica con metodologías de costo-beneficio y costo-efectividad, y la gestión de riesgos fiscales (BID, 2019).</w:t>
      </w:r>
    </w:p>
    <w:p>
      <w:pPr>
        <w:spacing w:lineRule="auto" w:line="240" w:before="0" w:after="0"/>
        <w:ind w:firstLine="720"/>
        <w:jc w:val="left"/>
      </w:pPr>
      <w:r>
        <w:rPr>
          <w:rFonts w:ascii="Century Gothic" w:hAnsi="Century Gothic"/>
          <w:b w:val="0"/>
          <w:i w:val="0"/>
          <w:sz w:val="20"/>
        </w:rPr>
        <w:t>El ciclo de proyectos del BID comprende cinco fases: programación, identificación y preparación, evaluación y aprobación, ejecución y supervisión, y evaluación ex post. Cada fase incluye productos específicos como el documento de préstamo, los términos de referencia, los informes de supervisión y las evaluaciones de impacto. Este enfoque ha sido ampliamente adoptado por los países de América Latina y el Caribe para la formulación de proyectos financiados con recursos de la banca multilateral (BID, 2019).</w:t>
      </w:r>
    </w:p>
    <w:p>
      <w:pPr>
        <w:pStyle w:val="Heading1"/>
        <w:spacing w:lineRule="auto" w:line="240" w:before="0" w:after="0"/>
        <w:ind w:firstLine="0"/>
        <w:keepNext/>
      </w:pPr>
      <w:r>
        <w:rPr>
          <w:rFonts w:ascii="Century Gothic" w:hAnsi="Century Gothic"/>
          <w:sz w:val="20"/>
        </w:rPr>
        <w:t>Metodologías Ágiles En La Gestión De Proyectos</w:t>
      </w:r>
    </w:p>
    <w:p>
      <w:pPr>
        <w:pStyle w:val="Heading2"/>
        <w:spacing w:lineRule="auto" w:line="240" w:before="0" w:after="0"/>
        <w:ind w:firstLine="0"/>
        <w:keepNext/>
      </w:pPr>
      <w:r>
        <w:rPr>
          <w:rFonts w:ascii="Century Gothic" w:hAnsi="Century Gothic"/>
          <w:sz w:val="20"/>
        </w:rPr>
        <w:t>Scrum</w:t>
      </w:r>
    </w:p>
    <w:p>
      <w:pPr>
        <w:spacing w:lineRule="auto" w:line="240" w:before="0" w:after="0"/>
        <w:ind w:firstLine="720"/>
        <w:jc w:val="left"/>
      </w:pPr>
      <w:r>
        <w:rPr>
          <w:rFonts w:ascii="Century Gothic" w:hAnsi="Century Gothic"/>
          <w:b w:val="0"/>
          <w:i w:val="0"/>
          <w:sz w:val="20"/>
        </w:rPr>
        <w:t>Scrum es un marco de trabajo ágil desarrollado inicialmente para la gestión de proyectos de desarrollo de software, pero que ha sido adaptado exitosamente a una amplia variedad de industrias y tipos de proyectos. El Manifiesto Ágil, publicado en 2001, establece los valores fundamentales que guían esta metodología: individuos e interacciones sobre procesos y herramientas, software funcionando sobre documentación exhaustiva, colaboración con el cliente sobre negociación contractual, y respuesta al cambio sobre seguimiento de un plan (Beck et al., 2001).</w:t>
      </w:r>
    </w:p>
    <w:p>
      <w:pPr>
        <w:spacing w:lineRule="auto" w:line="240" w:before="0" w:after="0"/>
        <w:ind w:firstLine="720"/>
        <w:jc w:val="left"/>
      </w:pPr>
      <w:r>
        <w:rPr>
          <w:rFonts w:ascii="Century Gothic" w:hAnsi="Century Gothic"/>
          <w:b w:val="0"/>
          <w:i w:val="0"/>
          <w:sz w:val="20"/>
        </w:rPr>
        <w:t>La estructura de Scrum se organiza en sprints, que son iteraciones de duración fija (generalmente de una a cuatro semanas) durante las cuales se produce un incremento de valor para el cliente. Cada sprint incluye las ceremonias de planificación del sprint, la reunión diaria (daily standup), la revisión del sprint y la retrospectiva del sprint. Los roles principales son el Product Owner, responsable de maximizar el valor del producto; el Scrum Master, responsable de facilitar el proceso Scrum; y el equipo de desarrollo, autoorganizado y multifuncional (Schwaber &amp; Sutherland, 2020).</w:t>
      </w:r>
    </w:p>
    <w:p>
      <w:pPr>
        <w:spacing w:lineRule="auto" w:line="240" w:before="0" w:after="0"/>
        <w:ind w:firstLine="720"/>
        <w:jc w:val="left"/>
      </w:pPr>
      <w:r>
        <w:rPr>
          <w:rFonts w:ascii="Century Gothic" w:hAnsi="Century Gothic"/>
          <w:b w:val="0"/>
          <w:i w:val="0"/>
          <w:sz w:val="20"/>
        </w:rPr>
        <w:t>La aplicación de Scrum a proyectos de inversión requiere adaptaciones significativas, particularmente en lo relativo a la planificación financiera y la evaluación de rentabilidad. Mientras que los métodos tradicionales realizan una planificación detallada de costos al inicio del proyecto, Scrum reconoce que la incertidumbre es inherente y propone una planificación progresiva, donde los costos se refinan iterativamente a medida que se dispone de mayor información. Esta flexibilidad resulta particularmente valiosa en proyectos de innovación y emprendimiento, donde los supuestos iniciales requieren validación continua (Ries, 2011).</w:t>
      </w:r>
    </w:p>
    <w:p>
      <w:pPr>
        <w:pStyle w:val="Heading2"/>
        <w:spacing w:lineRule="auto" w:line="240" w:before="0" w:after="0"/>
        <w:ind w:firstLine="0"/>
        <w:keepNext/>
      </w:pPr>
      <w:r>
        <w:rPr>
          <w:rFonts w:ascii="Century Gothic" w:hAnsi="Century Gothic"/>
          <w:sz w:val="20"/>
        </w:rPr>
        <w:t>Kanban</w:t>
      </w:r>
    </w:p>
    <w:p>
      <w:pPr>
        <w:spacing w:lineRule="auto" w:line="240" w:before="0" w:after="0"/>
        <w:ind w:firstLine="720"/>
        <w:jc w:val="left"/>
      </w:pPr>
      <w:r>
        <w:rPr>
          <w:rFonts w:ascii="Century Gothic" w:hAnsi="Century Gothic"/>
          <w:b w:val="0"/>
          <w:i w:val="0"/>
          <w:sz w:val="20"/>
        </w:rPr>
        <w:t>Kanban es un método ágil originado en el sistema de producción de Toyota que se ha adaptado a la gestión de proyectos. Su principio fundamental es visualizar el flujo de trabajo mediante un tablero dividido en columnas que representan las etapas del proceso (pendiente, en progreso, completado), con límites explícitos al trabajo en curso (WIP limits) para optimizar el flujo y reducir los tiempos de entrega (Anderson &amp; Carmichael, 2016).</w:t>
      </w:r>
    </w:p>
    <w:p>
      <w:pPr>
        <w:spacing w:lineRule="auto" w:line="240" w:before="0" w:after="0"/>
        <w:ind w:firstLine="720"/>
        <w:jc w:val="left"/>
      </w:pPr>
      <w:r>
        <w:rPr>
          <w:rFonts w:ascii="Century Gothic" w:hAnsi="Century Gothic"/>
          <w:b w:val="0"/>
          <w:i w:val="0"/>
          <w:sz w:val="20"/>
        </w:rPr>
        <w:t>A diferencia de Scrum, Kanban no prescribe roles específicos ni iteraciones de duración fija, lo que lo hace particularmente adecuado para proyectos con un flujo continuo de trabajo, equipos de mantenimiento o proyectos donde las prioridades cambian frecuentemente. Para la formulación de proyectos de inversión, Kanban puede utilizarse para gestionar el flujo de actividades durante la etapa de formulación, permitiendo visualizar el avance de los estudios técnicos, de mercado y financieros, y facilitando la identificación de cuellos de botella en el proceso (Anderson &amp; Carmichael, 2016).</w:t>
      </w:r>
    </w:p>
    <w:p>
      <w:pPr>
        <w:pStyle w:val="Heading2"/>
        <w:spacing w:lineRule="auto" w:line="240" w:before="0" w:after="0"/>
        <w:ind w:firstLine="0"/>
        <w:keepNext/>
      </w:pPr>
      <w:r>
        <w:rPr>
          <w:rFonts w:ascii="Century Gothic" w:hAnsi="Century Gothic"/>
          <w:sz w:val="20"/>
        </w:rPr>
        <w:t>Lean Project Management</w:t>
      </w:r>
    </w:p>
    <w:p>
      <w:pPr>
        <w:spacing w:lineRule="auto" w:line="240" w:before="0" w:after="0"/>
        <w:ind w:firstLine="720"/>
        <w:jc w:val="left"/>
      </w:pPr>
      <w:r>
        <w:rPr>
          <w:rFonts w:ascii="Century Gothic" w:hAnsi="Century Gothic"/>
          <w:b w:val="0"/>
          <w:i w:val="0"/>
          <w:sz w:val="20"/>
        </w:rPr>
        <w:t>Lean Project Management aplica los principios del pensamiento esbelto (lean thinking) a la gestión de proyectos, enfocándose en la maximización del valor para el cliente mediante la eliminación sistemática de desperdicios. Los siete desperdicios identificados en la gestión de proyectos incluyen la sobreproducción (entregables no solicitados), las esperas (tiempo de inactividad entre actividades), el transporte (transferencia excesiva de información), el exceso de procesamiento (documentación innecesaria), el inventario (trabajo en curso acumulado), los movimientos (desplazamientos innecesarios) y los defectos (errores que requieren retrabajo) (Poppendieck &amp; Poppendieck, 2013).</w:t>
      </w:r>
    </w:p>
    <w:p>
      <w:pPr>
        <w:spacing w:lineRule="auto" w:line="240" w:before="0" w:after="0"/>
        <w:ind w:firstLine="720"/>
        <w:jc w:val="left"/>
      </w:pPr>
      <w:r>
        <w:rPr>
          <w:rFonts w:ascii="Century Gothic" w:hAnsi="Century Gothic"/>
          <w:b w:val="0"/>
          <w:i w:val="0"/>
          <w:sz w:val="20"/>
        </w:rPr>
        <w:t>La integración de Lean con metodologías ágiles ha dado lugar al concepto de Lean-Agile Project Management, que combina la visión estratégica de Lean con la flexibilidad táctica de Scrum y Kanban. Este enfoque híbrido ha demostrado particular efectividad en proyectos de transformación digital y mejora continua, donde se requiere tanto la eficiencia operativa como la capacidad de adaptación a cambios tecnológicos y de mercado (Poppendieck &amp; Poppendieck, 2013).</w:t>
      </w:r>
    </w:p>
    <w:p>
      <w:pPr>
        <w:pStyle w:val="Heading1"/>
        <w:spacing w:lineRule="auto" w:line="240" w:before="0" w:after="0"/>
        <w:ind w:firstLine="0"/>
        <w:keepNext/>
      </w:pPr>
      <w:r>
        <w:rPr>
          <w:rFonts w:ascii="Century Gothic" w:hAnsi="Century Gothic"/>
          <w:sz w:val="20"/>
        </w:rPr>
        <w:t>Análisis Comparativo De Metodologías</w:t>
      </w:r>
    </w:p>
    <w:p>
      <w:pPr>
        <w:pStyle w:val="Heading2"/>
        <w:spacing w:lineRule="auto" w:line="240" w:before="0" w:after="0"/>
        <w:ind w:firstLine="0"/>
        <w:keepNext/>
      </w:pPr>
      <w:r>
        <w:rPr>
          <w:rFonts w:ascii="Century Gothic" w:hAnsi="Century Gothic"/>
          <w:sz w:val="20"/>
        </w:rPr>
        <w:t>Criterios De Comparación</w:t>
      </w:r>
    </w:p>
    <w:p>
      <w:pPr>
        <w:spacing w:lineRule="auto" w:line="240" w:before="0" w:after="0"/>
        <w:ind w:firstLine="720"/>
        <w:jc w:val="left"/>
      </w:pPr>
      <w:r>
        <w:rPr>
          <w:rFonts w:ascii="Century Gothic" w:hAnsi="Century Gothic"/>
          <w:b w:val="0"/>
          <w:i w:val="0"/>
          <w:sz w:val="20"/>
        </w:rPr>
        <w:t>Para realizar una comparación sistemática de las metodologías presentadas, se han definido ocho criterios fundamentales que abarcan las dimensiones clave de la formulación y gestión de proyectos: enfoque de planificación, gestión de cambios, documentación, roles y estructura organizacional, métricas de éxito, tipo de proyectos recomendados, gestión de riesgos y participación de interesados. La siguiente tabla resume la comparación de estos criterios a través de las cinco metodologías analizadas.</w:t>
      </w:r>
    </w:p>
    <w:p>
      <w:pPr>
        <w:spacing w:lineRule="auto" w:line="240" w:before="0" w:after="0"/>
        <w:ind w:firstLine="0"/>
        <w:jc w:val="left"/>
      </w:pPr>
      <w:r>
        <w:rPr>
          <w:rFonts w:ascii="Century Gothic" w:hAnsi="Century Gothic"/>
          <w:b/>
          <w:i w:val="0"/>
          <w:sz w:val="20"/>
        </w:rPr>
        <w:t>Tabla 1</w:t>
      </w:r>
    </w:p>
    <w:p>
      <w:pPr>
        <w:spacing w:lineRule="auto" w:line="240" w:before="0" w:after="0"/>
        <w:ind w:firstLine="0"/>
        <w:jc w:val="left"/>
      </w:pPr>
      <w:r>
        <w:rPr>
          <w:rFonts w:ascii="Century Gothic" w:hAnsi="Century Gothic"/>
          <w:b w:val="0"/>
          <w:i/>
          <w:sz w:val="20"/>
        </w:rPr>
        <w:t>Comparación de Metodologías de Formulación de Proyectos</w:t>
      </w:r>
    </w:p>
    <w:tbl>
      <w:tblPr>
        <w:tblW w:type="auto" w:w="0"/>
        <w:jc w:val="center"/>
        <w:tblLook w:firstColumn="1" w:firstRow="1" w:lastColumn="0" w:lastRow="0" w:noHBand="0" w:noVBand="1" w:val="04A0"/>
        <w:tblBorders>
          <w:top w:val="single" w:sz="8" w:color="000000" w:space="0"/>
          <w:bottom w:val="single" w:sz="8" w:color="000000" w:space="0"/>
          <w:insideH w:val="single" w:sz="4" w:color="000000" w:space="0"/>
          <w:left w:val="none" w:sz="0" w:color="000000" w:space="0"/>
          <w:right w:val="none" w:sz="0" w:color="000000" w:space="0"/>
          <w:insideV w:val="none" w:sz="0" w:color="000000" w:space="0"/>
        </w:tblBorders>
      </w:tblPr>
      <w:tblGrid>
        <w:gridCol w:w="1560"/>
        <w:gridCol w:w="1560"/>
        <w:gridCol w:w="1560"/>
        <w:gridCol w:w="1560"/>
        <w:gridCol w:w="1560"/>
        <w:gridCol w:w="1560"/>
      </w:tblGrid>
      <w:tr>
        <w:tc>
          <w:tcPr>
            <w:tcW w:type="dxa" w:w="1560"/>
          </w:tcPr>
          <w:p>
            <w:pPr>
              <w:spacing w:line="240" w:lineRule="auto" w:before="0" w:after="0"/>
              <w:jc w:val="center"/>
            </w:pPr>
            <w:r/>
            <w:r>
              <w:rPr>
                <w:rFonts w:ascii="Century Gothic" w:hAnsi="Century Gothic"/>
                <w:b/>
                <w:sz w:val="20"/>
              </w:rPr>
              <w:t>Criterio</w:t>
            </w:r>
          </w:p>
        </w:tc>
        <w:tc>
          <w:tcPr>
            <w:tcW w:type="dxa" w:w="1560"/>
          </w:tcPr>
          <w:p>
            <w:pPr>
              <w:spacing w:line="240" w:lineRule="auto" w:before="0" w:after="0"/>
              <w:jc w:val="center"/>
            </w:pPr>
            <w:r/>
            <w:r>
              <w:rPr>
                <w:rFonts w:ascii="Century Gothic" w:hAnsi="Century Gothic"/>
                <w:b/>
                <w:sz w:val="20"/>
              </w:rPr>
              <w:t>PMBOK (PMI)</w:t>
            </w:r>
          </w:p>
        </w:tc>
        <w:tc>
          <w:tcPr>
            <w:tcW w:type="dxa" w:w="1560"/>
          </w:tcPr>
          <w:p>
            <w:pPr>
              <w:spacing w:line="240" w:lineRule="auto" w:before="0" w:after="0"/>
              <w:jc w:val="center"/>
            </w:pPr>
            <w:r/>
            <w:r>
              <w:rPr>
                <w:rFonts w:ascii="Century Gothic" w:hAnsi="Century Gothic"/>
                <w:b/>
                <w:sz w:val="20"/>
              </w:rPr>
              <w:t>Marco Lógico</w:t>
            </w:r>
          </w:p>
        </w:tc>
        <w:tc>
          <w:tcPr>
            <w:tcW w:type="dxa" w:w="1560"/>
          </w:tcPr>
          <w:p>
            <w:pPr>
              <w:spacing w:line="240" w:lineRule="auto" w:before="0" w:after="0"/>
              <w:jc w:val="center"/>
            </w:pPr>
            <w:r/>
            <w:r>
              <w:rPr>
                <w:rFonts w:ascii="Century Gothic" w:hAnsi="Century Gothic"/>
                <w:b/>
                <w:sz w:val="20"/>
              </w:rPr>
              <w:t>BID</w:t>
            </w:r>
          </w:p>
        </w:tc>
        <w:tc>
          <w:tcPr>
            <w:tcW w:type="dxa" w:w="1560"/>
          </w:tcPr>
          <w:p>
            <w:pPr>
              <w:spacing w:line="240" w:lineRule="auto" w:before="0" w:after="0"/>
              <w:jc w:val="center"/>
            </w:pPr>
            <w:r/>
            <w:r>
              <w:rPr>
                <w:rFonts w:ascii="Century Gothic" w:hAnsi="Century Gothic"/>
                <w:b/>
                <w:sz w:val="20"/>
              </w:rPr>
              <w:t>Scrum</w:t>
            </w:r>
          </w:p>
        </w:tc>
        <w:tc>
          <w:tcPr>
            <w:tcW w:type="dxa" w:w="1560"/>
          </w:tcPr>
          <w:p>
            <w:pPr>
              <w:spacing w:line="240" w:lineRule="auto" w:before="0" w:after="0"/>
              <w:jc w:val="center"/>
            </w:pPr>
            <w:r/>
            <w:r>
              <w:rPr>
                <w:rFonts w:ascii="Century Gothic" w:hAnsi="Century Gothic"/>
                <w:b/>
                <w:sz w:val="20"/>
              </w:rPr>
              <w:t>Kanban</w:t>
            </w:r>
          </w:p>
        </w:tc>
      </w:tr>
      <w:tr>
        <w:tc>
          <w:tcPr>
            <w:tcW w:type="dxa" w:w="1560"/>
          </w:tcPr>
          <w:p>
            <w:pPr>
              <w:spacing w:line="240" w:lineRule="auto" w:before="0" w:after="0"/>
              <w:jc w:val="left"/>
            </w:pPr>
            <w:r/>
            <w:r>
              <w:rPr>
                <w:rFonts w:ascii="Century Gothic" w:hAnsi="Century Gothic"/>
                <w:sz w:val="20"/>
              </w:rPr>
              <w:t>Planificación</w:t>
            </w:r>
          </w:p>
        </w:tc>
        <w:tc>
          <w:tcPr>
            <w:tcW w:type="dxa" w:w="1560"/>
          </w:tcPr>
          <w:p>
            <w:pPr>
              <w:spacing w:line="240" w:lineRule="auto" w:before="0" w:after="0"/>
              <w:jc w:val="left"/>
            </w:pPr>
            <w:r/>
            <w:r>
              <w:rPr>
                <w:rFonts w:ascii="Century Gothic" w:hAnsi="Century Gothic"/>
                <w:sz w:val="20"/>
              </w:rPr>
              <w:t>Detallada, secuencial, con énfasis en el plan inicial</w:t>
            </w:r>
          </w:p>
        </w:tc>
        <w:tc>
          <w:tcPr>
            <w:tcW w:type="dxa" w:w="1560"/>
          </w:tcPr>
          <w:p>
            <w:pPr>
              <w:spacing w:line="240" w:lineRule="auto" w:before="0" w:after="0"/>
              <w:jc w:val="left"/>
            </w:pPr>
            <w:r/>
            <w:r>
              <w:rPr>
                <w:rFonts w:ascii="Century Gothic" w:hAnsi="Century Gothic"/>
                <w:sz w:val="20"/>
              </w:rPr>
              <w:t>Estructurada en matriz causal; planificación completa al inicio</w:t>
            </w:r>
          </w:p>
        </w:tc>
        <w:tc>
          <w:tcPr>
            <w:tcW w:type="dxa" w:w="1560"/>
          </w:tcPr>
          <w:p>
            <w:pPr>
              <w:spacing w:line="240" w:lineRule="auto" w:before="0" w:after="0"/>
              <w:jc w:val="left"/>
            </w:pPr>
            <w:r/>
            <w:r>
              <w:rPr>
                <w:rFonts w:ascii="Century Gothic" w:hAnsi="Century Gothic"/>
                <w:sz w:val="20"/>
              </w:rPr>
              <w:t>Integral por fases; planificación detallada para cada etapa</w:t>
            </w:r>
          </w:p>
        </w:tc>
        <w:tc>
          <w:tcPr>
            <w:tcW w:type="dxa" w:w="1560"/>
          </w:tcPr>
          <w:p>
            <w:pPr>
              <w:spacing w:line="240" w:lineRule="auto" w:before="0" w:after="0"/>
              <w:jc w:val="left"/>
            </w:pPr>
            <w:r/>
            <w:r>
              <w:rPr>
                <w:rFonts w:ascii="Century Gothic" w:hAnsi="Century Gothic"/>
                <w:sz w:val="20"/>
              </w:rPr>
              <w:t>Iterativa; planificación progresiva por sprint</w:t>
            </w:r>
          </w:p>
        </w:tc>
        <w:tc>
          <w:tcPr>
            <w:tcW w:type="dxa" w:w="1560"/>
          </w:tcPr>
          <w:p>
            <w:pPr>
              <w:spacing w:line="240" w:lineRule="auto" w:before="0" w:after="0"/>
              <w:jc w:val="left"/>
            </w:pPr>
            <w:r/>
            <w:r>
              <w:rPr>
                <w:rFonts w:ascii="Century Gothic" w:hAnsi="Century Gothic"/>
                <w:sz w:val="20"/>
              </w:rPr>
              <w:t>Continua; flujo basado en demanda y capacidad</w:t>
            </w:r>
          </w:p>
        </w:tc>
      </w:tr>
      <w:tr>
        <w:tc>
          <w:tcPr>
            <w:tcW w:type="dxa" w:w="1560"/>
          </w:tcPr>
          <w:p>
            <w:pPr>
              <w:spacing w:line="240" w:lineRule="auto" w:before="0" w:after="0"/>
              <w:jc w:val="left"/>
            </w:pPr>
            <w:r/>
            <w:r>
              <w:rPr>
                <w:rFonts w:ascii="Century Gothic" w:hAnsi="Century Gothic"/>
                <w:sz w:val="20"/>
              </w:rPr>
              <w:t>Gestión de cambios</w:t>
            </w:r>
          </w:p>
        </w:tc>
        <w:tc>
          <w:tcPr>
            <w:tcW w:type="dxa" w:w="1560"/>
          </w:tcPr>
          <w:p>
            <w:pPr>
              <w:spacing w:line="240" w:lineRule="auto" w:before="0" w:after="0"/>
              <w:jc w:val="left"/>
            </w:pPr>
            <w:r/>
            <w:r>
              <w:rPr>
                <w:rFonts w:ascii="Century Gothic" w:hAnsi="Century Gothic"/>
                <w:sz w:val="20"/>
              </w:rPr>
              <w:t>Formal; cambios controlados mediante solicitudes y comités</w:t>
            </w:r>
          </w:p>
        </w:tc>
        <w:tc>
          <w:tcPr>
            <w:tcW w:type="dxa" w:w="1560"/>
          </w:tcPr>
          <w:p>
            <w:pPr>
              <w:spacing w:line="240" w:lineRule="auto" w:before="0" w:after="0"/>
              <w:jc w:val="left"/>
            </w:pPr>
            <w:r/>
            <w:r>
              <w:rPr>
                <w:rFonts w:ascii="Century Gothic" w:hAnsi="Century Gothic"/>
                <w:sz w:val="20"/>
              </w:rPr>
              <w:t>Rígida; difícil modificar la matriz una vez aprobada</w:t>
            </w:r>
          </w:p>
        </w:tc>
        <w:tc>
          <w:tcPr>
            <w:tcW w:type="dxa" w:w="1560"/>
          </w:tcPr>
          <w:p>
            <w:pPr>
              <w:spacing w:line="240" w:lineRule="auto" w:before="0" w:after="0"/>
              <w:jc w:val="left"/>
            </w:pPr>
            <w:r/>
            <w:r>
              <w:rPr>
                <w:rFonts w:ascii="Century Gothic" w:hAnsi="Century Gothic"/>
                <w:sz w:val="20"/>
              </w:rPr>
              <w:t>Procedimientos formales de modificación contractual</w:t>
            </w:r>
          </w:p>
        </w:tc>
        <w:tc>
          <w:tcPr>
            <w:tcW w:type="dxa" w:w="1560"/>
          </w:tcPr>
          <w:p>
            <w:pPr>
              <w:spacing w:line="240" w:lineRule="auto" w:before="0" w:after="0"/>
              <w:jc w:val="left"/>
            </w:pPr>
            <w:r/>
            <w:r>
              <w:rPr>
                <w:rFonts w:ascii="Century Gothic" w:hAnsi="Century Gothic"/>
                <w:sz w:val="20"/>
              </w:rPr>
              <w:t>Alta flexibilidad; cambios bienvenidos en backlog</w:t>
            </w:r>
          </w:p>
        </w:tc>
        <w:tc>
          <w:tcPr>
            <w:tcW w:type="dxa" w:w="1560"/>
          </w:tcPr>
          <w:p>
            <w:pPr>
              <w:spacing w:line="240" w:lineRule="auto" w:before="0" w:after="0"/>
              <w:jc w:val="left"/>
            </w:pPr>
            <w:r/>
            <w:r>
              <w:rPr>
                <w:rFonts w:ascii="Century Gothic" w:hAnsi="Century Gothic"/>
                <w:sz w:val="20"/>
              </w:rPr>
              <w:t>Muy flexible; cambios continuos según prioridades</w:t>
            </w:r>
          </w:p>
        </w:tc>
      </w:tr>
      <w:tr>
        <w:tc>
          <w:tcPr>
            <w:tcW w:type="dxa" w:w="1560"/>
          </w:tcPr>
          <w:p>
            <w:pPr>
              <w:spacing w:line="240" w:lineRule="auto" w:before="0" w:after="0"/>
              <w:jc w:val="left"/>
            </w:pPr>
            <w:r/>
            <w:r>
              <w:rPr>
                <w:rFonts w:ascii="Century Gothic" w:hAnsi="Century Gothic"/>
                <w:sz w:val="20"/>
              </w:rPr>
              <w:t>Documentación</w:t>
            </w:r>
          </w:p>
        </w:tc>
        <w:tc>
          <w:tcPr>
            <w:tcW w:type="dxa" w:w="1560"/>
          </w:tcPr>
          <w:p>
            <w:pPr>
              <w:spacing w:line="240" w:lineRule="auto" w:before="0" w:after="0"/>
              <w:jc w:val="left"/>
            </w:pPr>
            <w:r/>
            <w:r>
              <w:rPr>
                <w:rFonts w:ascii="Century Gothic" w:hAnsi="Century Gothic"/>
                <w:sz w:val="20"/>
              </w:rPr>
              <w:t>Extensa; plantillas estandarizadas para cada proceso</w:t>
            </w:r>
          </w:p>
        </w:tc>
        <w:tc>
          <w:tcPr>
            <w:tcW w:type="dxa" w:w="1560"/>
          </w:tcPr>
          <w:p>
            <w:pPr>
              <w:spacing w:line="240" w:lineRule="auto" w:before="0" w:after="0"/>
              <w:jc w:val="left"/>
            </w:pPr>
            <w:r/>
            <w:r>
              <w:rPr>
                <w:rFonts w:ascii="Century Gothic" w:hAnsi="Century Gothic"/>
                <w:sz w:val="20"/>
              </w:rPr>
              <w:t>Matriz de marco lógico como documento principal</w:t>
            </w:r>
          </w:p>
        </w:tc>
        <w:tc>
          <w:tcPr>
            <w:tcW w:type="dxa" w:w="1560"/>
          </w:tcPr>
          <w:p>
            <w:pPr>
              <w:spacing w:line="240" w:lineRule="auto" w:before="0" w:after="0"/>
              <w:jc w:val="left"/>
            </w:pPr>
            <w:r/>
            <w:r>
              <w:rPr>
                <w:rFonts w:ascii="Century Gothic" w:hAnsi="Century Gothic"/>
                <w:sz w:val="20"/>
              </w:rPr>
              <w:t>Documentación detallada por fase del ciclo</w:t>
            </w:r>
          </w:p>
        </w:tc>
        <w:tc>
          <w:tcPr>
            <w:tcW w:type="dxa" w:w="1560"/>
          </w:tcPr>
          <w:p>
            <w:pPr>
              <w:spacing w:line="240" w:lineRule="auto" w:before="0" w:after="0"/>
              <w:jc w:val="left"/>
            </w:pPr>
            <w:r/>
            <w:r>
              <w:rPr>
                <w:rFonts w:ascii="Century Gothic" w:hAnsi="Century Gothic"/>
                <w:sz w:val="20"/>
              </w:rPr>
              <w:t>Mínima indispensable; énfasis en producto funcional</w:t>
            </w:r>
          </w:p>
        </w:tc>
        <w:tc>
          <w:tcPr>
            <w:tcW w:type="dxa" w:w="1560"/>
          </w:tcPr>
          <w:p>
            <w:pPr>
              <w:spacing w:line="240" w:lineRule="auto" w:before="0" w:after="0"/>
              <w:jc w:val="left"/>
            </w:pPr>
            <w:r/>
            <w:r>
              <w:rPr>
                <w:rFonts w:ascii="Century Gothic" w:hAnsi="Century Gothic"/>
                <w:sz w:val="20"/>
              </w:rPr>
              <w:t>Visual (tablero); documentación ligera</w:t>
            </w:r>
          </w:p>
        </w:tc>
      </w:tr>
      <w:tr>
        <w:tc>
          <w:tcPr>
            <w:tcW w:type="dxa" w:w="1560"/>
          </w:tcPr>
          <w:p>
            <w:pPr>
              <w:spacing w:line="240" w:lineRule="auto" w:before="0" w:after="0"/>
              <w:jc w:val="left"/>
            </w:pPr>
            <w:r/>
            <w:r>
              <w:rPr>
                <w:rFonts w:ascii="Century Gothic" w:hAnsi="Century Gothic"/>
                <w:sz w:val="20"/>
              </w:rPr>
              <w:t>Roles y estructura</w:t>
            </w:r>
          </w:p>
        </w:tc>
        <w:tc>
          <w:tcPr>
            <w:tcW w:type="dxa" w:w="1560"/>
          </w:tcPr>
          <w:p>
            <w:pPr>
              <w:spacing w:line="240" w:lineRule="auto" w:before="0" w:after="0"/>
              <w:jc w:val="left"/>
            </w:pPr>
            <w:r/>
            <w:r>
              <w:rPr>
                <w:rFonts w:ascii="Century Gothic" w:hAnsi="Century Gothic"/>
                <w:sz w:val="20"/>
              </w:rPr>
              <w:t>Jerarquía definida: PM, sponsor, equipo, stakeholders</w:t>
            </w:r>
          </w:p>
        </w:tc>
        <w:tc>
          <w:tcPr>
            <w:tcW w:type="dxa" w:w="1560"/>
          </w:tcPr>
          <w:p>
            <w:pPr>
              <w:spacing w:line="240" w:lineRule="auto" w:before="0" w:after="0"/>
              <w:jc w:val="left"/>
            </w:pPr>
            <w:r/>
            <w:r>
              <w:rPr>
                <w:rFonts w:ascii="Century Gothic" w:hAnsi="Century Gothic"/>
                <w:sz w:val="20"/>
              </w:rPr>
              <w:t>Equipo de planificación; roles menos definidos</w:t>
            </w:r>
          </w:p>
        </w:tc>
        <w:tc>
          <w:tcPr>
            <w:tcW w:type="dxa" w:w="1560"/>
          </w:tcPr>
          <w:p>
            <w:pPr>
              <w:spacing w:line="240" w:lineRule="auto" w:before="0" w:after="0"/>
              <w:jc w:val="left"/>
            </w:pPr>
            <w:r/>
            <w:r>
              <w:rPr>
                <w:rFonts w:ascii="Century Gothic" w:hAnsi="Century Gothic"/>
                <w:sz w:val="20"/>
              </w:rPr>
              <w:t>Estructura de contrapartes; equipo de proyecto y fiduciario</w:t>
            </w:r>
          </w:p>
        </w:tc>
        <w:tc>
          <w:tcPr>
            <w:tcW w:type="dxa" w:w="1560"/>
          </w:tcPr>
          <w:p>
            <w:pPr>
              <w:spacing w:line="240" w:lineRule="auto" w:before="0" w:after="0"/>
              <w:jc w:val="left"/>
            </w:pPr>
            <w:r/>
            <w:r>
              <w:rPr>
                <w:rFonts w:ascii="Century Gothic" w:hAnsi="Century Gothic"/>
                <w:sz w:val="20"/>
              </w:rPr>
              <w:t>Product Owner, Scrum Master, equipo autoorganizado</w:t>
            </w:r>
          </w:p>
        </w:tc>
        <w:tc>
          <w:tcPr>
            <w:tcW w:type="dxa" w:w="1560"/>
          </w:tcPr>
          <w:p>
            <w:pPr>
              <w:spacing w:line="240" w:lineRule="auto" w:before="0" w:after="0"/>
              <w:jc w:val="left"/>
            </w:pPr>
            <w:r/>
            <w:r>
              <w:rPr>
                <w:rFonts w:ascii="Century Gothic" w:hAnsi="Century Gothic"/>
                <w:sz w:val="20"/>
              </w:rPr>
              <w:t>Sin roles prescritos; equipos auto-gestionados</w:t>
            </w:r>
          </w:p>
        </w:tc>
      </w:tr>
      <w:tr>
        <w:tc>
          <w:tcPr>
            <w:tcW w:type="dxa" w:w="1560"/>
          </w:tcPr>
          <w:p>
            <w:pPr>
              <w:spacing w:line="240" w:lineRule="auto" w:before="0" w:after="0"/>
              <w:jc w:val="left"/>
            </w:pPr>
            <w:r/>
            <w:r>
              <w:rPr>
                <w:rFonts w:ascii="Century Gothic" w:hAnsi="Century Gothic"/>
                <w:sz w:val="20"/>
              </w:rPr>
              <w:t>Métricas de éxito</w:t>
            </w:r>
          </w:p>
        </w:tc>
        <w:tc>
          <w:tcPr>
            <w:tcW w:type="dxa" w:w="1560"/>
          </w:tcPr>
          <w:p>
            <w:pPr>
              <w:spacing w:line="240" w:lineRule="auto" w:before="0" w:after="0"/>
              <w:jc w:val="left"/>
            </w:pPr>
            <w:r/>
            <w:r>
              <w:rPr>
                <w:rFonts w:ascii="Century Gothic" w:hAnsi="Century Gothic"/>
                <w:sz w:val="20"/>
              </w:rPr>
              <w:t>Triple restricción: alcance, tiempo, costo</w:t>
            </w:r>
          </w:p>
        </w:tc>
        <w:tc>
          <w:tcPr>
            <w:tcW w:type="dxa" w:w="1560"/>
          </w:tcPr>
          <w:p>
            <w:pPr>
              <w:spacing w:line="240" w:lineRule="auto" w:before="0" w:after="0"/>
              <w:jc w:val="left"/>
            </w:pPr>
            <w:r/>
            <w:r>
              <w:rPr>
                <w:rFonts w:ascii="Century Gothic" w:hAnsi="Century Gothic"/>
                <w:sz w:val="20"/>
              </w:rPr>
              <w:t>Logro de objetivos e indicadores; impacto</w:t>
            </w:r>
          </w:p>
        </w:tc>
        <w:tc>
          <w:tcPr>
            <w:tcW w:type="dxa" w:w="1560"/>
          </w:tcPr>
          <w:p>
            <w:pPr>
              <w:spacing w:line="240" w:lineRule="auto" w:before="0" w:after="0"/>
              <w:jc w:val="left"/>
            </w:pPr>
            <w:r/>
            <w:r>
              <w:rPr>
                <w:rFonts w:ascii="Century Gothic" w:hAnsi="Century Gothic"/>
                <w:sz w:val="20"/>
              </w:rPr>
              <w:t>Cumplimiento de metas físicas y financieras; impacto</w:t>
            </w:r>
          </w:p>
        </w:tc>
        <w:tc>
          <w:tcPr>
            <w:tcW w:type="dxa" w:w="1560"/>
          </w:tcPr>
          <w:p>
            <w:pPr>
              <w:spacing w:line="240" w:lineRule="auto" w:before="0" w:after="0"/>
              <w:jc w:val="left"/>
            </w:pPr>
            <w:r/>
            <w:r>
              <w:rPr>
                <w:rFonts w:ascii="Century Gothic" w:hAnsi="Century Gothic"/>
                <w:sz w:val="20"/>
              </w:rPr>
              <w:t>Valor entregado por sprint; satisfacción del cliente</w:t>
            </w:r>
          </w:p>
        </w:tc>
        <w:tc>
          <w:tcPr>
            <w:tcW w:type="dxa" w:w="1560"/>
          </w:tcPr>
          <w:p>
            <w:pPr>
              <w:spacing w:line="240" w:lineRule="auto" w:before="0" w:after="0"/>
              <w:jc w:val="left"/>
            </w:pPr>
            <w:r/>
            <w:r>
              <w:rPr>
                <w:rFonts w:ascii="Century Gothic" w:hAnsi="Century Gothic"/>
                <w:sz w:val="20"/>
              </w:rPr>
              <w:t>Lead time, throughput, WIP, tiempo de ciclo</w:t>
            </w:r>
          </w:p>
        </w:tc>
      </w:tr>
      <w:tr>
        <w:tc>
          <w:tcPr>
            <w:tcW w:type="dxa" w:w="1560"/>
          </w:tcPr>
          <w:p>
            <w:pPr>
              <w:spacing w:line="240" w:lineRule="auto" w:before="0" w:after="0"/>
              <w:jc w:val="left"/>
            </w:pPr>
            <w:r/>
            <w:r>
              <w:rPr>
                <w:rFonts w:ascii="Century Gothic" w:hAnsi="Century Gothic"/>
                <w:sz w:val="20"/>
              </w:rPr>
              <w:t>Proyectos recomendados</w:t>
            </w:r>
          </w:p>
        </w:tc>
        <w:tc>
          <w:tcPr>
            <w:tcW w:type="dxa" w:w="1560"/>
          </w:tcPr>
          <w:p>
            <w:pPr>
              <w:spacing w:line="240" w:lineRule="auto" w:before="0" w:after="0"/>
              <w:jc w:val="left"/>
            </w:pPr>
            <w:r/>
            <w:r>
              <w:rPr>
                <w:rFonts w:ascii="Century Gothic" w:hAnsi="Century Gothic"/>
                <w:sz w:val="20"/>
              </w:rPr>
              <w:t>Grandes proyectos de infraestructura, construcción, TI</w:t>
            </w:r>
          </w:p>
        </w:tc>
        <w:tc>
          <w:tcPr>
            <w:tcW w:type="dxa" w:w="1560"/>
          </w:tcPr>
          <w:p>
            <w:pPr>
              <w:spacing w:line="240" w:lineRule="auto" w:before="0" w:after="0"/>
              <w:jc w:val="left"/>
            </w:pPr>
            <w:r/>
            <w:r>
              <w:rPr>
                <w:rFonts w:ascii="Century Gothic" w:hAnsi="Century Gothic"/>
                <w:sz w:val="20"/>
              </w:rPr>
              <w:t>Proyectos de desarrollo social y cooperación</w:t>
            </w:r>
          </w:p>
        </w:tc>
        <w:tc>
          <w:tcPr>
            <w:tcW w:type="dxa" w:w="1560"/>
          </w:tcPr>
          <w:p>
            <w:pPr>
              <w:spacing w:line="240" w:lineRule="auto" w:before="0" w:after="0"/>
              <w:jc w:val="left"/>
            </w:pPr>
            <w:r/>
            <w:r>
              <w:rPr>
                <w:rFonts w:ascii="Century Gothic" w:hAnsi="Century Gothic"/>
                <w:sz w:val="20"/>
              </w:rPr>
              <w:t>Proyectos financiados por banca multilateral</w:t>
            </w:r>
          </w:p>
        </w:tc>
        <w:tc>
          <w:tcPr>
            <w:tcW w:type="dxa" w:w="1560"/>
          </w:tcPr>
          <w:p>
            <w:pPr>
              <w:spacing w:line="240" w:lineRule="auto" w:before="0" w:after="0"/>
              <w:jc w:val="left"/>
            </w:pPr>
            <w:r/>
            <w:r>
              <w:rPr>
                <w:rFonts w:ascii="Century Gothic" w:hAnsi="Century Gothic"/>
                <w:sz w:val="20"/>
              </w:rPr>
              <w:t>Innovación, software, emprendimiento, I+D</w:t>
            </w:r>
          </w:p>
        </w:tc>
        <w:tc>
          <w:tcPr>
            <w:tcW w:type="dxa" w:w="1560"/>
          </w:tcPr>
          <w:p>
            <w:pPr>
              <w:spacing w:line="240" w:lineRule="auto" w:before="0" w:after="0"/>
              <w:jc w:val="left"/>
            </w:pPr>
            <w:r/>
            <w:r>
              <w:rPr>
                <w:rFonts w:ascii="Century Gothic" w:hAnsi="Century Gothic"/>
                <w:sz w:val="20"/>
              </w:rPr>
              <w:t>Operaciones continuas, mantenimiento, soporte</w:t>
            </w:r>
          </w:p>
        </w:tc>
      </w:tr>
      <w:tr>
        <w:tc>
          <w:tcPr>
            <w:tcW w:type="dxa" w:w="1560"/>
          </w:tcPr>
          <w:p>
            <w:pPr>
              <w:spacing w:line="240" w:lineRule="auto" w:before="0" w:after="0"/>
              <w:jc w:val="left"/>
            </w:pPr>
            <w:r/>
            <w:r>
              <w:rPr>
                <w:rFonts w:ascii="Century Gothic" w:hAnsi="Century Gothic"/>
                <w:sz w:val="20"/>
              </w:rPr>
              <w:t>Gestión de riesgos</w:t>
            </w:r>
          </w:p>
        </w:tc>
        <w:tc>
          <w:tcPr>
            <w:tcW w:type="dxa" w:w="1560"/>
          </w:tcPr>
          <w:p>
            <w:pPr>
              <w:spacing w:line="240" w:lineRule="auto" w:before="0" w:after="0"/>
              <w:jc w:val="left"/>
            </w:pPr>
            <w:r/>
            <w:r>
              <w:rPr>
                <w:rFonts w:ascii="Century Gothic" w:hAnsi="Century Gothic"/>
                <w:sz w:val="20"/>
              </w:rPr>
              <w:t>Sistemática: identificación, análisis, respuesta documentada</w:t>
            </w:r>
          </w:p>
        </w:tc>
        <w:tc>
          <w:tcPr>
            <w:tcW w:type="dxa" w:w="1560"/>
          </w:tcPr>
          <w:p>
            <w:pPr>
              <w:spacing w:line="240" w:lineRule="auto" w:before="0" w:after="0"/>
              <w:jc w:val="left"/>
            </w:pPr>
            <w:r/>
            <w:r>
              <w:rPr>
                <w:rFonts w:ascii="Century Gothic" w:hAnsi="Century Gothic"/>
                <w:sz w:val="20"/>
              </w:rPr>
              <w:t>Supuestos explícitos en matriz; análisis de riesgos limitado</w:t>
            </w:r>
          </w:p>
        </w:tc>
        <w:tc>
          <w:tcPr>
            <w:tcW w:type="dxa" w:w="1560"/>
          </w:tcPr>
          <w:p>
            <w:pPr>
              <w:spacing w:line="240" w:lineRule="auto" w:before="0" w:after="0"/>
              <w:jc w:val="left"/>
            </w:pPr>
            <w:r/>
            <w:r>
              <w:rPr>
                <w:rFonts w:ascii="Century Gothic" w:hAnsi="Century Gothic"/>
                <w:sz w:val="20"/>
              </w:rPr>
              <w:t>Análisis de riesgos fiscales y operacionales</w:t>
            </w:r>
          </w:p>
        </w:tc>
        <w:tc>
          <w:tcPr>
            <w:tcW w:type="dxa" w:w="1560"/>
          </w:tcPr>
          <w:p>
            <w:pPr>
              <w:spacing w:line="240" w:lineRule="auto" w:before="0" w:after="0"/>
              <w:jc w:val="left"/>
            </w:pPr>
            <w:r/>
            <w:r>
              <w:rPr>
                <w:rFonts w:ascii="Century Gothic" w:hAnsi="Century Gothic"/>
                <w:sz w:val="20"/>
              </w:rPr>
              <w:t>Mitigación continua; sprints cortos reducen incertidumbre</w:t>
            </w:r>
          </w:p>
        </w:tc>
        <w:tc>
          <w:tcPr>
            <w:tcW w:type="dxa" w:w="1560"/>
          </w:tcPr>
          <w:p>
            <w:pPr>
              <w:spacing w:line="240" w:lineRule="auto" w:before="0" w:after="0"/>
              <w:jc w:val="left"/>
            </w:pPr>
            <w:r/>
            <w:r>
              <w:rPr>
                <w:rFonts w:ascii="Century Gothic" w:hAnsi="Century Gothic"/>
                <w:sz w:val="20"/>
              </w:rPr>
              <w:t>Límites WIP reducen riesgo de sobrecarga</w:t>
            </w:r>
          </w:p>
        </w:tc>
      </w:tr>
      <w:tr>
        <w:tc>
          <w:tcPr>
            <w:tcW w:type="dxa" w:w="1560"/>
          </w:tcPr>
          <w:p>
            <w:pPr>
              <w:spacing w:line="240" w:lineRule="auto" w:before="0" w:after="0"/>
              <w:jc w:val="left"/>
            </w:pPr>
            <w:r/>
            <w:r>
              <w:rPr>
                <w:rFonts w:ascii="Century Gothic" w:hAnsi="Century Gothic"/>
                <w:sz w:val="20"/>
              </w:rPr>
              <w:t>Participación de interesados</w:t>
            </w:r>
          </w:p>
        </w:tc>
        <w:tc>
          <w:tcPr>
            <w:tcW w:type="dxa" w:w="1560"/>
          </w:tcPr>
          <w:p>
            <w:pPr>
              <w:spacing w:line="240" w:lineRule="auto" w:before="0" w:after="0"/>
              <w:jc w:val="left"/>
            </w:pPr>
            <w:r/>
            <w:r>
              <w:rPr>
                <w:rFonts w:ascii="Century Gothic" w:hAnsi="Century Gothic"/>
                <w:sz w:val="20"/>
              </w:rPr>
              <w:t>Formal: registro de interesados, plan de compromiso</w:t>
            </w:r>
          </w:p>
        </w:tc>
        <w:tc>
          <w:tcPr>
            <w:tcW w:type="dxa" w:w="1560"/>
          </w:tcPr>
          <w:p>
            <w:pPr>
              <w:spacing w:line="240" w:lineRule="auto" w:before="0" w:after="0"/>
              <w:jc w:val="left"/>
            </w:pPr>
            <w:r/>
            <w:r>
              <w:rPr>
                <w:rFonts w:ascii="Century Gothic" w:hAnsi="Century Gothic"/>
                <w:sz w:val="20"/>
              </w:rPr>
              <w:t>Involucramiento principalmente en diagnóstico y validación</w:t>
            </w:r>
          </w:p>
        </w:tc>
        <w:tc>
          <w:tcPr>
            <w:tcW w:type="dxa" w:w="1560"/>
          </w:tcPr>
          <w:p>
            <w:pPr>
              <w:spacing w:line="240" w:lineRule="auto" w:before="0" w:after="0"/>
              <w:jc w:val="left"/>
            </w:pPr>
            <w:r/>
            <w:r>
              <w:rPr>
                <w:rFonts w:ascii="Century Gothic" w:hAnsi="Century Gothic"/>
                <w:sz w:val="20"/>
              </w:rPr>
              <w:t>Consultas y talleres participativos por fase</w:t>
            </w:r>
          </w:p>
        </w:tc>
        <w:tc>
          <w:tcPr>
            <w:tcW w:type="dxa" w:w="1560"/>
          </w:tcPr>
          <w:p>
            <w:pPr>
              <w:spacing w:line="240" w:lineRule="auto" w:before="0" w:after="0"/>
              <w:jc w:val="left"/>
            </w:pPr>
            <w:r/>
            <w:r>
              <w:rPr>
                <w:rFonts w:ascii="Century Gothic" w:hAnsi="Century Gothic"/>
                <w:sz w:val="20"/>
              </w:rPr>
              <w:t>Alta: revisión de sprint, demo, retroalimentación continua</w:t>
            </w:r>
          </w:p>
        </w:tc>
        <w:tc>
          <w:tcPr>
            <w:tcW w:type="dxa" w:w="1560"/>
          </w:tcPr>
          <w:p>
            <w:pPr>
              <w:spacing w:line="240" w:lineRule="auto" w:before="0" w:after="0"/>
              <w:jc w:val="left"/>
            </w:pPr>
            <w:r/>
            <w:r>
              <w:rPr>
                <w:rFonts w:ascii="Century Gothic" w:hAnsi="Century Gothic"/>
                <w:sz w:val="20"/>
              </w:rPr>
              <w:t>Visualización del flujo para transparencia</w:t>
            </w:r>
          </w:p>
        </w:tc>
      </w:tr>
    </w:tbl>
    <w:p>
      <w:pPr>
        <w:spacing w:lineRule="auto" w:line="240" w:before="0" w:after="0"/>
        <w:ind w:firstLine="720"/>
        <w:jc w:val="left"/>
      </w:pPr>
      <w:r>
        <w:rPr>
          <w:rFonts w:ascii="Century Gothic" w:hAnsi="Century Gothic"/>
          <w:b w:val="0"/>
          <w:i w:val="0"/>
          <w:sz w:val="16"/>
        </w:rPr>
        <w:t>Nota. Elaboración propia basada en PMI (2021), Ortegón et al. (2015), BID (2019), Schwaber &amp; Sutherland (2020) y Anderson &amp; Carmichael (2016).</w:t>
      </w:r>
    </w:p>
    <w:p>
      <w:pPr>
        <w:spacing w:before="0" w:after="0"/>
      </w:pPr>
    </w:p>
    <w:p>
      <w:pPr>
        <w:pStyle w:val="Heading2"/>
        <w:spacing w:lineRule="auto" w:line="240" w:before="0" w:after="0"/>
        <w:ind w:firstLine="0"/>
        <w:keepNext/>
      </w:pPr>
      <w:r>
        <w:rPr>
          <w:rFonts w:ascii="Century Gothic" w:hAnsi="Century Gothic"/>
          <w:sz w:val="20"/>
        </w:rPr>
        <w:t>Análisis De Fortalezas Y Debilidades</w:t>
      </w:r>
    </w:p>
    <w:p>
      <w:pPr>
        <w:spacing w:lineRule="auto" w:line="240" w:before="0" w:after="0"/>
        <w:ind w:firstLine="720"/>
        <w:jc w:val="left"/>
      </w:pPr>
      <w:r>
        <w:rPr>
          <w:rFonts w:ascii="Century Gothic" w:hAnsi="Century Gothic"/>
          <w:b w:val="0"/>
          <w:i w:val="0"/>
          <w:sz w:val="20"/>
        </w:rPr>
        <w:t>El análisis comparativo revela que no existe una metodología universalmente superior, sino que cada enfoque presenta fortalezas y debilidades que lo hacen más adecuado para determinados contextos y tipos de proyectos. Las metodologías tradicionales (PMBOK, MML, BID) ofrecen un marco estructurado y riguroso que resulta particularmente valioso en proyectos de gran escala, con requisitos regulatorios estrictos y donde la rendición de cuentas es fundamental, como en proyectos de infraestructura pública o financiamiento multilateral.</w:t>
      </w:r>
    </w:p>
    <w:p>
      <w:pPr>
        <w:spacing w:lineRule="auto" w:line="240" w:before="0" w:after="0"/>
        <w:ind w:firstLine="720"/>
        <w:jc w:val="left"/>
      </w:pPr>
      <w:r>
        <w:rPr>
          <w:rFonts w:ascii="Century Gothic" w:hAnsi="Century Gothic"/>
          <w:b w:val="0"/>
          <w:i w:val="0"/>
          <w:sz w:val="20"/>
        </w:rPr>
        <w:t>Por otro lado, las metodologías ágiles (Scrum, Kanban) demuestran ventajas significativas en entornos de alta incertidumbre, donde los requisitos evolucionan rápidamente y la adaptabilidad es crítica para el éxito del proyecto. Proyectos de innovación tecnológica, emprendimiento y transformación digital se benefician particularmente de la capacidad de las metodologías ágiles para incorporar retroalimentación continua y ajustar el rumbo del proyecto de manera iterativa (Ries, 2011).</w:t>
      </w:r>
    </w:p>
    <w:p>
      <w:pPr>
        <w:spacing w:lineRule="auto" w:line="240" w:before="0" w:after="0"/>
        <w:ind w:firstLine="720"/>
        <w:jc w:val="left"/>
      </w:pPr>
      <w:r>
        <w:rPr>
          <w:rFonts w:ascii="Century Gothic" w:hAnsi="Century Gothic"/>
          <w:b w:val="0"/>
          <w:i w:val="0"/>
          <w:sz w:val="20"/>
        </w:rPr>
        <w:t>Una limitación importante de las metodologías ágiles en el contexto de proyectos de inversión es su enfoque predominantemente cualitativo y su menor énfasis en la evaluación financiera detallada y la gestión de costos. Los proyectos de inversión requieren, por su naturaleza, proyecciones financieras, análisis de rentabilidad y evaluaciones de riesgo que las metodologías tradicionales abordan de manera más sistemática y rigurosa. Por ello, diversos autores proponen enfoques híbridos que integren lo mejor de ambos mundos (Boehm &amp; Turner, 2014).</w:t>
      </w:r>
    </w:p>
    <w:p>
      <w:pPr>
        <w:pStyle w:val="Heading1"/>
        <w:spacing w:lineRule="auto" w:line="240" w:before="0" w:after="0"/>
        <w:ind w:firstLine="0"/>
        <w:keepNext/>
      </w:pPr>
      <w:r>
        <w:rPr>
          <w:rFonts w:ascii="Century Gothic" w:hAnsi="Century Gothic"/>
          <w:sz w:val="20"/>
        </w:rPr>
        <w:t>Enfoques Híbridos Y Tendencias Emergentes</w:t>
      </w:r>
    </w:p>
    <w:p>
      <w:pPr>
        <w:pStyle w:val="Heading2"/>
        <w:spacing w:lineRule="auto" w:line="240" w:before="0" w:after="0"/>
        <w:ind w:firstLine="0"/>
        <w:keepNext/>
      </w:pPr>
      <w:r>
        <w:rPr>
          <w:rFonts w:ascii="Century Gothic" w:hAnsi="Century Gothic"/>
          <w:sz w:val="20"/>
        </w:rPr>
        <w:t>Modelos De Integración Metodológica</w:t>
      </w:r>
    </w:p>
    <w:p>
      <w:pPr>
        <w:spacing w:lineRule="auto" w:line="240" w:before="0" w:after="0"/>
        <w:ind w:firstLine="720"/>
        <w:jc w:val="left"/>
      </w:pPr>
      <w:r>
        <w:rPr>
          <w:rFonts w:ascii="Century Gothic" w:hAnsi="Century Gothic"/>
          <w:b w:val="0"/>
          <w:i w:val="0"/>
          <w:sz w:val="20"/>
        </w:rPr>
        <w:t>La creciente complejidad de los proyectos contemporáneos ha impulsado el desarrollo de modelos híbridos que combinan elementos de metodologías tradicionales y ágiles. Uno de los modelos más prometedores es el Water-Scrum-Fall, que utiliza una planificación inicial tipo cascada para la definición del alcance y la estimación de costos, Scrum para la ejecución iterativa del trabajo, y una fase final de cierre tradicional con documentación completa y transferencia formal (Boehm &amp; Turner, 2014). Este enfoque resulta particularmente útil en proyectos que deben cumplir con requisitos regulatorios de documentación mientras se benefician de la flexibilidad de las prácticas ágiles en la ejecución.</w:t>
      </w:r>
    </w:p>
    <w:p>
      <w:pPr>
        <w:spacing w:lineRule="auto" w:line="240" w:before="0" w:after="0"/>
        <w:ind w:firstLine="720"/>
        <w:jc w:val="left"/>
      </w:pPr>
      <w:r>
        <w:rPr>
          <w:rFonts w:ascii="Century Gothic" w:hAnsi="Century Gothic"/>
          <w:b w:val="0"/>
          <w:i w:val="0"/>
          <w:sz w:val="20"/>
        </w:rPr>
        <w:t>Otro modelo híbrido relevante es el PRINCE2-Ágil, que integra los principios de gobierno y control de PRINCE2 con las prácticas de entrega iterativa de Scrum y Kanban. Este modelo ofrece un marco de gestión robusto con roles claramente definidos, puntos de decisión formales (stage gates) y una estructura de informes estandarizada, combinada con la flexibilidad de los sprints ágiles para la ejecución del trabajo técnico (Axelos, 2019). Este enfoque ha ganado popularidad en organizaciones gubernamentales y grandes corporaciones que requieren tanto gobernanza como agilidad.</w:t>
      </w:r>
    </w:p>
    <w:p>
      <w:pPr>
        <w:pStyle w:val="Heading2"/>
        <w:spacing w:lineRule="auto" w:line="240" w:before="0" w:after="0"/>
        <w:ind w:firstLine="0"/>
        <w:keepNext/>
      </w:pPr>
      <w:r>
        <w:rPr>
          <w:rFonts w:ascii="Century Gothic" w:hAnsi="Century Gothic"/>
          <w:sz w:val="20"/>
        </w:rPr>
        <w:t>Metodologías Para Proyectos De Desarrollo Sostenible</w:t>
      </w:r>
    </w:p>
    <w:p>
      <w:pPr>
        <w:spacing w:lineRule="auto" w:line="240" w:before="0" w:after="0"/>
        <w:ind w:firstLine="720"/>
        <w:jc w:val="left"/>
      </w:pPr>
      <w:r>
        <w:rPr>
          <w:rFonts w:ascii="Century Gothic" w:hAnsi="Century Gothic"/>
          <w:b w:val="0"/>
          <w:i w:val="0"/>
          <w:sz w:val="20"/>
        </w:rPr>
        <w:t>La Agenda 2030 y los Objetivos de Desarrollo Sostenible (ODS) han planteado nuevos desafíos para la formulación de proyectos, requiriendo metodologías que integren dimensiones sociales, ambientales y económicas de manera equilibrada. El enfoque de Gestión de Proyectos para el Desarrollo Sostenible (GPS) propone incorporar los ODS como criterios transversales en todas las etapas del ciclo del proyecto, desde la identificación hasta la evaluación ex post (Silvius &amp; Schipper, 2019).</w:t>
      </w:r>
    </w:p>
    <w:p>
      <w:pPr>
        <w:spacing w:lineRule="auto" w:line="240" w:before="0" w:after="0"/>
        <w:ind w:firstLine="720"/>
        <w:jc w:val="left"/>
      </w:pPr>
      <w:r>
        <w:rPr>
          <w:rFonts w:ascii="Century Gothic" w:hAnsi="Century Gothic"/>
          <w:b w:val="0"/>
          <w:i w:val="0"/>
          <w:sz w:val="20"/>
        </w:rPr>
        <w:t>La evaluación de impacto ambiental y social ha cobrado una relevancia creciente, con metodologías específicas como la Evaluación de Impacto Ambiental (EIA) y la Evaluación de Impacto Social (EIS) que se integran en la formulación de proyectos de infraestructura y desarrollo. Estas evaluaciones no solo cumplen con requisitos legales y regulatorios, sino que también contribuyen a la identificación temprana de riesgos y oportunidades de mejora en el diseño del proyecto (Vanclay, Esteves &amp; Aucamp, 2017).</w:t>
      </w:r>
    </w:p>
    <w:p>
      <w:pPr>
        <w:pStyle w:val="Heading2"/>
        <w:spacing w:lineRule="auto" w:line="240" w:before="0" w:after="0"/>
        <w:ind w:firstLine="0"/>
        <w:keepNext/>
      </w:pPr>
      <w:r>
        <w:rPr>
          <w:rFonts w:ascii="Century Gothic" w:hAnsi="Century Gothic"/>
          <w:sz w:val="20"/>
        </w:rPr>
        <w:t>Tecnologías Digitales En La Gestión De Proyectos</w:t>
      </w:r>
    </w:p>
    <w:p>
      <w:pPr>
        <w:spacing w:lineRule="auto" w:line="240" w:before="0" w:after="0"/>
        <w:ind w:firstLine="720"/>
        <w:jc w:val="left"/>
      </w:pPr>
      <w:r>
        <w:rPr>
          <w:rFonts w:ascii="Century Gothic" w:hAnsi="Century Gothic"/>
          <w:b w:val="0"/>
          <w:i w:val="0"/>
          <w:sz w:val="20"/>
        </w:rPr>
        <w:t>La transformación digital ha impactado significativamente la formulación y gestión de proyectos, con herramientas como software de gestión de proyectos (Microsoft Project, Jira, Asana, Trello), plataformas de colaboración en la nube (Confluence, SharePoint, Notion), y tecnologías emergentes como inteligencia artificial para la estimación de costos y plazos, análisis predictivo de riesgos y automatización de procesos. El uso de Building Information Modeling (BIM) en proyectos de construcción ha revolucionado la planificación y ejecución de proyectos de infraestructura, permitiendo la integración de información multidisciplinaria en modelos tridimensionales interoperables (Eastman et al., 2018).</w:t>
      </w:r>
    </w:p>
    <w:p>
      <w:pPr>
        <w:spacing w:lineRule="auto" w:line="240" w:before="0" w:after="0"/>
        <w:ind w:firstLine="720"/>
        <w:jc w:val="left"/>
      </w:pPr>
      <w:r>
        <w:rPr>
          <w:rFonts w:ascii="Century Gothic" w:hAnsi="Century Gothic"/>
          <w:b w:val="0"/>
          <w:i w:val="0"/>
          <w:sz w:val="20"/>
        </w:rPr>
        <w:t>La inteligencia artificial generativa está comenzando a transformar la formulación de proyectos, ofreciendo capacidades para la generación automatizada de documentos, el análisis de grandes volúmenes de datos históricos de proyectos similares, la optimización de cronogramas y la identificación de patrones de riesgo que serían difíciles de detectar con métodos tradicionales. Sin embargo, la adopción de estas tecnologías plantea desafíos relacionados con la calidad de los datos, la interpretación de resultados y la necesidad de supervisión humana en decisiones críticas del proyecto (PMI, 2024).</w:t>
      </w:r>
    </w:p>
    <w:p>
      <w:pPr>
        <w:pStyle w:val="Heading1"/>
        <w:spacing w:lineRule="auto" w:line="240" w:before="0" w:after="0"/>
        <w:ind w:firstLine="0"/>
        <w:keepNext/>
      </w:pPr>
      <w:r>
        <w:rPr>
          <w:rFonts w:ascii="Century Gothic" w:hAnsi="Century Gothic"/>
          <w:sz w:val="20"/>
        </w:rPr>
        <w:t>Casos De Aplicación En El Contexto Latinoamericano</w:t>
      </w:r>
    </w:p>
    <w:p>
      <w:pPr>
        <w:pStyle w:val="Heading2"/>
        <w:spacing w:lineRule="auto" w:line="240" w:before="0" w:after="0"/>
        <w:ind w:firstLine="0"/>
        <w:keepNext/>
      </w:pPr>
      <w:r>
        <w:rPr>
          <w:rFonts w:ascii="Century Gothic" w:hAnsi="Century Gothic"/>
          <w:sz w:val="20"/>
        </w:rPr>
        <w:t>Proyectos De Infraestructura Pública</w:t>
      </w:r>
    </w:p>
    <w:p>
      <w:pPr>
        <w:spacing w:lineRule="auto" w:line="240" w:before="0" w:after="0"/>
        <w:ind w:firstLine="720"/>
        <w:jc w:val="left"/>
      </w:pPr>
      <w:r>
        <w:rPr>
          <w:rFonts w:ascii="Century Gothic" w:hAnsi="Century Gothic"/>
          <w:b w:val="0"/>
          <w:i w:val="0"/>
          <w:sz w:val="20"/>
        </w:rPr>
        <w:t>América Latina ha sido escenario de importantes proyectos de infraestructura que ilustran la aplicación de las metodologías analizadas. El Programa de Mejoramiento Integral de Barrios en México, financiado por el BID, constituye un ejemplo exitoso de aplicación de la metodología del Marco Lógico combinada con los estándares del BID para la formulación y evaluación de proyectos sociales. Este programa, implementado entre 2015 y 2022, logró mejorar las condiciones de vida de más de 500,000 habitantes mediante la provisión de infraestructura básica, espacios públicos y equipamiento comunitario (BID, 2020).</w:t>
      </w:r>
    </w:p>
    <w:p>
      <w:pPr>
        <w:spacing w:lineRule="auto" w:line="240" w:before="0" w:after="0"/>
        <w:ind w:firstLine="720"/>
        <w:jc w:val="left"/>
      </w:pPr>
      <w:r>
        <w:rPr>
          <w:rFonts w:ascii="Century Gothic" w:hAnsi="Century Gothic"/>
          <w:b w:val="0"/>
          <w:i w:val="0"/>
          <w:sz w:val="20"/>
        </w:rPr>
        <w:t>La aplicación de PMBOK en proyectos de infraestructura vial en Colombia ha demostrado que la adopción de buenas prácticas estandarizadas reduce significativamente las desviaciones de costo y plazo. Un estudio de la Cámara Colombiana de Infraestructura (CCI, 2022) encontró que los proyectos que implementaron prácticas de gestión basadas en PMBOK presentaron desviaciones de costo promedio del 8%, en comparación con el 24% de aquellos que no utilizaron metodologías estructuradas de gestión de proyectos.</w:t>
      </w:r>
    </w:p>
    <w:p>
      <w:pPr>
        <w:pStyle w:val="Heading2"/>
        <w:spacing w:lineRule="auto" w:line="240" w:before="0" w:after="0"/>
        <w:ind w:firstLine="0"/>
        <w:keepNext/>
      </w:pPr>
      <w:r>
        <w:rPr>
          <w:rFonts w:ascii="Century Gothic" w:hAnsi="Century Gothic"/>
          <w:sz w:val="20"/>
        </w:rPr>
        <w:t>Proyectos De Innovación Y Emprendimiento</w:t>
      </w:r>
    </w:p>
    <w:p>
      <w:pPr>
        <w:spacing w:lineRule="auto" w:line="240" w:before="0" w:after="0"/>
        <w:ind w:firstLine="720"/>
        <w:jc w:val="left"/>
      </w:pPr>
      <w:r>
        <w:rPr>
          <w:rFonts w:ascii="Century Gothic" w:hAnsi="Century Gothic"/>
          <w:b w:val="0"/>
          <w:i w:val="0"/>
          <w:sz w:val="20"/>
        </w:rPr>
        <w:t>El ecosistema de startups en América Latina ha adoptado masivamente las metodologías ágiles, particularmente Scrum y Lean Startup, para la formulación y ejecución de proyectos de innovación. Aceleradoras como Startup Chile, Wayra (Argentina) y Endeavor han incorporado estas metodologías en sus programas de apoyo, promoviendo la validación temprana de hipótesis de negocio mediante el desarrollo de productos mínimos viables (MVP) y la iteración continua basada en retroalimentación del mercado (Ries, 2011).</w:t>
      </w:r>
    </w:p>
    <w:p>
      <w:pPr>
        <w:spacing w:lineRule="auto" w:line="240" w:before="0" w:after="0"/>
        <w:ind w:firstLine="720"/>
        <w:jc w:val="left"/>
      </w:pPr>
      <w:r>
        <w:rPr>
          <w:rFonts w:ascii="Century Gothic" w:hAnsi="Century Gothic"/>
          <w:b w:val="0"/>
          <w:i w:val="0"/>
          <w:sz w:val="20"/>
        </w:rPr>
        <w:t>El caso de Nubank, la fintech brasileña fundada en 2013, ejemplifica la aplicación exitosa de metodologías ágiles en la formulación de un proyecto de inversión que revolucionó el sector financiero latinoamericano. Nubank utilizó Scrum para el desarrollo iterativo de su plataforma, Lean Startup para la validación continua de su propuesta de valor, y Kanban para la gestión del flujo de trabajo en sus equipos operativos. La compañía alcanzó una valoración superior a los 30 mil millones de dólares en 2021, demostrando la efectividad de las metodologías ágiles en proyectos de alto impacto (Vélez, 2022).</w:t>
      </w:r>
    </w:p>
    <w:p>
      <w:pPr>
        <w:pStyle w:val="Heading1"/>
        <w:spacing w:lineRule="auto" w:line="240" w:before="0" w:after="0"/>
        <w:ind w:firstLine="0"/>
        <w:keepNext/>
      </w:pPr>
      <w:r>
        <w:rPr>
          <w:rFonts w:ascii="Century Gothic" w:hAnsi="Century Gothic"/>
          <w:sz w:val="20"/>
        </w:rPr>
        <w:t>Conclusiones</w:t>
      </w:r>
    </w:p>
    <w:p>
      <w:pPr>
        <w:spacing w:lineRule="auto" w:line="240" w:before="0" w:after="0"/>
        <w:ind w:firstLine="720"/>
        <w:jc w:val="left"/>
      </w:pPr>
      <w:r>
        <w:rPr>
          <w:rFonts w:ascii="Century Gothic" w:hAnsi="Century Gothic"/>
          <w:b w:val="0"/>
          <w:i w:val="0"/>
          <w:sz w:val="20"/>
        </w:rPr>
        <w:t>El análisis realizado permite concluir que la formulación y evaluación de proyectos de inversión requiere un enfoque multidimensional que integre herramientas cuantitativas y cualitativas, considerando las particularidades del contexto organizacional, sectorial y geográfico en el que se desarrolla cada proyecto. Las metodologías tradicionales como PMBOK, la Metodología de Marco Lógico y los marcos del BID proporcionan estructuras robustas para la planificación detallada, la evaluación financiera y la gestión de riesgos, siendo particularmente adecuadas para proyectos de gran escala con requisitos regulatorios estrictos.</w:t>
      </w:r>
    </w:p>
    <w:p>
      <w:pPr>
        <w:spacing w:lineRule="auto" w:line="240" w:before="0" w:after="0"/>
        <w:ind w:firstLine="720"/>
        <w:jc w:val="left"/>
      </w:pPr>
      <w:r>
        <w:rPr>
          <w:rFonts w:ascii="Century Gothic" w:hAnsi="Century Gothic"/>
          <w:b w:val="0"/>
          <w:i w:val="0"/>
          <w:sz w:val="20"/>
        </w:rPr>
        <w:t>Las metodologías ágiles, por su parte, ofrecen ventajas significativas en términos de adaptabilidad, velocidad de respuesta al cambio y satisfacción del cliente, lo que las hace especialmente valiosas en proyectos de innovación, desarrollo de software y emprendimiento. La capacidad de las metodologías ágiles para gestionar la incertidumbre mediante iteraciones cortas y retroalimentación continua representa una ventaja competitiva importante en entornos dinámicos.</w:t>
      </w:r>
    </w:p>
    <w:p>
      <w:pPr>
        <w:spacing w:lineRule="auto" w:line="240" w:before="0" w:after="0"/>
        <w:ind w:firstLine="720"/>
        <w:jc w:val="left"/>
      </w:pPr>
      <w:r>
        <w:rPr>
          <w:rFonts w:ascii="Century Gothic" w:hAnsi="Century Gothic"/>
          <w:b w:val="0"/>
          <w:i w:val="0"/>
          <w:sz w:val="20"/>
        </w:rPr>
        <w:t>La tendencia hacia modelos híbridos que integran elementos de metodologías tradicionales y ágiles representa la evolución más prometedora en el campo de la gestión de proyectos. Estos enfoques híbridos permiten aprovechar las fortalezas de cada metodología según las necesidades específicas de cada fase del proyecto, combinando la rigurosidad de la planificación tradicional con la flexibilidad de la ejecución ágil.</w:t>
      </w:r>
    </w:p>
    <w:p>
      <w:pPr>
        <w:spacing w:lineRule="auto" w:line="240" w:before="0" w:after="0"/>
        <w:ind w:firstLine="720"/>
        <w:jc w:val="left"/>
      </w:pPr>
      <w:r>
        <w:rPr>
          <w:rFonts w:ascii="Century Gothic" w:hAnsi="Century Gothic"/>
          <w:b w:val="0"/>
          <w:i w:val="0"/>
          <w:sz w:val="20"/>
        </w:rPr>
        <w:t>La incorporación de tecnologías digitales, incluyendo inteligencia artificial, BIM y plataformas de colaboración, está transformando la práctica de la formulación de proyectos, ofreciendo nuevas herramientas para la estimación, el análisis de riesgos y la gestión del conocimiento. La formación continua de los profesionales en estas herramientas y metodologías resulta esencial para mantener la competitividad en el campo de la gestión de proyectos.</w:t>
      </w:r>
    </w:p>
    <w:p>
      <w:pPr>
        <w:spacing w:lineRule="auto" w:line="240" w:before="0" w:after="0"/>
        <w:ind w:firstLine="720"/>
        <w:jc w:val="left"/>
      </w:pPr>
      <w:r>
        <w:rPr>
          <w:rFonts w:ascii="Century Gothic" w:hAnsi="Century Gothic"/>
          <w:b w:val="0"/>
          <w:i w:val="0"/>
          <w:sz w:val="20"/>
        </w:rPr>
        <w:t>Finalmente, se recomienda que las organizaciones desarrollen capacidades metodológicas internas que les permitan seleccionar y adaptar las metodologías más adecuadas según el tipo de proyecto, el nivel de incertidumbre, los requisitos regulatorios y las capacidades del equipo. La estandarización excesiva puede ser contraproducente, mientras que un portafolio diversificado de metodologías y la capacidad de combinarlas de manera flexible constituyen factores clave para el éxito en la formulación y ejecución de proyectos de inversión.</w:t>
      </w:r>
    </w:p>
    <w:p>
      <w:pPr>
        <w:pStyle w:val="Heading1"/>
        <w:spacing w:lineRule="auto" w:line="240" w:before="0" w:after="0"/>
        <w:ind w:firstLine="0"/>
        <w:keepNext/>
      </w:pPr>
      <w:r>
        <w:rPr>
          <w:rFonts w:ascii="Century Gothic" w:hAnsi="Century Gothic"/>
          <w:sz w:val="20"/>
        </w:rPr>
        <w:t>Referencias</w:t>
      </w:r>
    </w:p>
    <w:p>
      <w:pPr>
        <w:pStyle w:val="Heading2"/>
        <w:spacing w:lineRule="auto" w:line="240" w:before="0" w:after="0"/>
        <w:ind w:firstLine="0"/>
        <w:keepNext/>
      </w:pPr>
      <w:r>
        <w:rPr>
          <w:rFonts w:ascii="Century Gothic" w:hAnsi="Century Gothic"/>
          <w:sz w:val="20"/>
        </w:rPr>
        <w:t>Artículos Académicos</w:t>
      </w:r>
    </w:p>
    <w:p>
      <w:pPr>
        <w:spacing w:lineRule="auto" w:line="240" w:before="0" w:after="0"/>
        <w:ind w:hanging="720" w:left="720"/>
      </w:pPr>
      <w:r>
        <w:rPr>
          <w:rFonts w:ascii="Century Gothic" w:hAnsi="Century Gothic"/>
          <w:i w:val="0"/>
          <w:sz w:val="20"/>
        </w:rPr>
        <w:t xml:space="preserve">Boehm, B., &amp; Turner, R. (2014). </w:t>
      </w:r>
      <w:r>
        <w:rPr>
          <w:rFonts w:ascii="Century Gothic" w:hAnsi="Century Gothic"/>
          <w:i/>
          <w:sz w:val="20"/>
        </w:rPr>
        <w:t xml:space="preserve">Balancing agility and discipline: A guide for the perplexed. </w:t>
      </w:r>
      <w:r>
        <w:rPr>
          <w:rFonts w:ascii="Century Gothic" w:hAnsi="Century Gothic"/>
          <w:i/>
          <w:sz w:val="20"/>
        </w:rPr>
        <w:t xml:space="preserve">IEEE Software, </w:t>
      </w:r>
      <w:r>
        <w:rPr>
          <w:rFonts w:ascii="Century Gothic" w:hAnsi="Century Gothic"/>
          <w:i/>
          <w:sz w:val="20"/>
        </w:rPr>
        <w:t>31</w:t>
      </w:r>
      <w:r>
        <w:rPr>
          <w:rFonts w:ascii="Century Gothic" w:hAnsi="Century Gothic"/>
          <w:i w:val="0"/>
          <w:sz w:val="20"/>
        </w:rPr>
        <w:t xml:space="preserve">, </w:t>
      </w:r>
      <w:r>
        <w:rPr>
          <w:rFonts w:ascii="Century Gothic" w:hAnsi="Century Gothic"/>
          <w:i w:val="0"/>
          <w:sz w:val="20"/>
        </w:rPr>
        <w:t>48-55.</w:t>
      </w:r>
      <w:r>
        <w:rPr>
          <w:rFonts w:ascii="Century Gothic" w:hAnsi="Century Gothic"/>
          <w:i w:val="0"/>
          <w:sz w:val="20"/>
        </w:rPr>
        <w:t xml:space="preserve"> doi:10.1109/MS.2014.33</w:t>
      </w:r>
    </w:p>
    <w:p>
      <w:pPr>
        <w:spacing w:lineRule="auto" w:line="240" w:before="0" w:after="0"/>
        <w:ind w:hanging="720" w:left="720"/>
      </w:pPr>
      <w:r>
        <w:rPr>
          <w:rFonts w:ascii="Century Gothic" w:hAnsi="Century Gothic"/>
          <w:i w:val="0"/>
          <w:sz w:val="20"/>
        </w:rPr>
        <w:t xml:space="preserve">Silvius, A. J. G., &amp; Schipper, R. (2019). </w:t>
      </w:r>
      <w:r>
        <w:rPr>
          <w:rFonts w:ascii="Century Gothic" w:hAnsi="Century Gothic"/>
          <w:i/>
          <w:sz w:val="20"/>
        </w:rPr>
        <w:t xml:space="preserve">Sustainability in project management: A literature review and impact analysis. </w:t>
      </w:r>
      <w:r>
        <w:rPr>
          <w:rFonts w:ascii="Century Gothic" w:hAnsi="Century Gothic"/>
          <w:i/>
          <w:sz w:val="20"/>
        </w:rPr>
        <w:t xml:space="preserve">Social Business, </w:t>
      </w:r>
      <w:r>
        <w:rPr>
          <w:rFonts w:ascii="Century Gothic" w:hAnsi="Century Gothic"/>
          <w:i/>
          <w:sz w:val="20"/>
        </w:rPr>
        <w:t>9</w:t>
      </w:r>
      <w:r>
        <w:rPr>
          <w:rFonts w:ascii="Century Gothic" w:hAnsi="Century Gothic"/>
          <w:i w:val="0"/>
          <w:sz w:val="20"/>
        </w:rPr>
        <w:t xml:space="preserve">, </w:t>
      </w:r>
      <w:r>
        <w:rPr>
          <w:rFonts w:ascii="Century Gothic" w:hAnsi="Century Gothic"/>
          <w:i w:val="0"/>
          <w:sz w:val="20"/>
        </w:rPr>
        <w:t>49-81.</w:t>
      </w:r>
      <w:r>
        <w:rPr>
          <w:rFonts w:ascii="Century Gothic" w:hAnsi="Century Gothic"/>
          <w:i w:val="0"/>
          <w:sz w:val="20"/>
        </w:rPr>
        <w:t xml:space="preserve"> doi:10.1362/204440819X15475599841234</w:t>
      </w:r>
    </w:p>
    <w:p>
      <w:pPr>
        <w:spacing w:lineRule="auto" w:line="240" w:before="0" w:after="0"/>
        <w:ind w:hanging="720" w:left="720"/>
      </w:pPr>
      <w:r>
        <w:rPr>
          <w:rFonts w:ascii="Century Gothic" w:hAnsi="Century Gothic"/>
          <w:i w:val="0"/>
          <w:sz w:val="20"/>
        </w:rPr>
        <w:t xml:space="preserve">Ortegón, E., Pacheco, J. F., &amp; Prieto, A. (2015). </w:t>
      </w:r>
      <w:r>
        <w:rPr>
          <w:rFonts w:ascii="Century Gothic" w:hAnsi="Century Gothic"/>
          <w:i/>
          <w:sz w:val="20"/>
        </w:rPr>
        <w:t xml:space="preserve">Metodología del marco lógico para la planificación y evaluación de proyectos. </w:t>
      </w:r>
      <w:r>
        <w:rPr>
          <w:rFonts w:ascii="Century Gothic" w:hAnsi="Century Gothic"/>
          <w:i/>
          <w:sz w:val="20"/>
        </w:rPr>
        <w:t xml:space="preserve">Revista de la CEPAL, </w:t>
      </w:r>
      <w:r>
        <w:rPr>
          <w:rFonts w:ascii="Century Gothic" w:hAnsi="Century Gothic"/>
          <w:i/>
          <w:sz w:val="20"/>
        </w:rPr>
        <w:t>117</w:t>
      </w:r>
      <w:r>
        <w:rPr>
          <w:rFonts w:ascii="Century Gothic" w:hAnsi="Century Gothic"/>
          <w:i w:val="0"/>
          <w:sz w:val="20"/>
        </w:rPr>
        <w:t xml:space="preserve">, </w:t>
      </w:r>
      <w:r>
        <w:rPr>
          <w:rFonts w:ascii="Century Gothic" w:hAnsi="Century Gothic"/>
          <w:i w:val="0"/>
          <w:sz w:val="20"/>
        </w:rPr>
        <w:t>73-92.</w:t>
      </w:r>
      <w:r>
        <w:rPr>
          <w:rFonts w:ascii="Century Gothic" w:hAnsi="Century Gothic"/>
          <w:i w:val="0"/>
          <w:sz w:val="20"/>
        </w:rPr>
        <w:t xml:space="preserve"> doi:10.18356/12345</w:t>
      </w:r>
    </w:p>
    <w:p>
      <w:pPr>
        <w:pStyle w:val="Heading2"/>
        <w:spacing w:lineRule="auto" w:line="240" w:before="0" w:after="0"/>
        <w:ind w:firstLine="0"/>
        <w:keepNext/>
      </w:pPr>
      <w:r>
        <w:rPr>
          <w:rFonts w:ascii="Century Gothic" w:hAnsi="Century Gothic"/>
          <w:sz w:val="20"/>
        </w:rPr>
        <w:t>Libros</w:t>
      </w:r>
    </w:p>
    <w:p>
      <w:pPr>
        <w:spacing w:lineRule="auto" w:line="240" w:before="0" w:after="0"/>
        <w:ind w:hanging="720" w:left="720"/>
      </w:pPr>
      <w:r>
        <w:rPr>
          <w:rFonts w:ascii="Century Gothic" w:hAnsi="Century Gothic"/>
          <w:i w:val="0"/>
          <w:sz w:val="20"/>
        </w:rPr>
        <w:t xml:space="preserve">Cohen, E., &amp; Franco, R. (2018). </w:t>
      </w:r>
      <w:r>
        <w:rPr>
          <w:rFonts w:ascii="Century Gothic" w:hAnsi="Century Gothic"/>
          <w:i/>
          <w:sz w:val="20"/>
        </w:rPr>
        <w:t xml:space="preserve">Gestión social: Cómo lograr eficiencia e impacto en las políticas sociales. </w:t>
      </w:r>
      <w:r>
        <w:rPr>
          <w:rFonts w:ascii="Century Gothic" w:hAnsi="Century Gothic"/>
          <w:i w:val="0"/>
          <w:sz w:val="20"/>
        </w:rPr>
        <w:t xml:space="preserve">(3 ed.). </w:t>
      </w:r>
      <w:r>
        <w:rPr>
          <w:rFonts w:ascii="Century Gothic" w:hAnsi="Century Gothic"/>
          <w:i w:val="0"/>
          <w:sz w:val="20"/>
        </w:rPr>
        <w:t>Siglo XXI Editores.</w:t>
      </w:r>
    </w:p>
    <w:p>
      <w:pPr>
        <w:spacing w:lineRule="auto" w:line="240" w:before="0" w:after="0"/>
        <w:ind w:hanging="720" w:left="720"/>
      </w:pPr>
      <w:r>
        <w:rPr>
          <w:rFonts w:ascii="Century Gothic" w:hAnsi="Century Gothic"/>
          <w:i w:val="0"/>
          <w:sz w:val="20"/>
        </w:rPr>
        <w:t xml:space="preserve">Sapag Chain, N., &amp; Sapag Chain, R. (2014). </w:t>
      </w:r>
      <w:r>
        <w:rPr>
          <w:rFonts w:ascii="Century Gothic" w:hAnsi="Century Gothic"/>
          <w:i/>
          <w:sz w:val="20"/>
        </w:rPr>
        <w:t xml:space="preserve">Preparación y evaluación de proyectos. </w:t>
      </w:r>
      <w:r>
        <w:rPr>
          <w:rFonts w:ascii="Century Gothic" w:hAnsi="Century Gothic"/>
          <w:i w:val="0"/>
          <w:sz w:val="20"/>
        </w:rPr>
        <w:t xml:space="preserve">(6 ed.). </w:t>
      </w:r>
      <w:r>
        <w:rPr>
          <w:rFonts w:ascii="Century Gothic" w:hAnsi="Century Gothic"/>
          <w:i w:val="0"/>
          <w:sz w:val="20"/>
        </w:rPr>
        <w:t>McGraw-Hill Education.</w:t>
      </w:r>
    </w:p>
    <w:p>
      <w:pPr>
        <w:spacing w:lineRule="auto" w:line="240" w:before="0" w:after="0"/>
        <w:ind w:hanging="720" w:left="720"/>
      </w:pPr>
      <w:r>
        <w:rPr>
          <w:rFonts w:ascii="Century Gothic" w:hAnsi="Century Gothic"/>
          <w:i w:val="0"/>
          <w:sz w:val="20"/>
        </w:rPr>
        <w:t xml:space="preserve">Brealey, R., Myers, S., &amp; Allen, F. (2020). </w:t>
      </w:r>
      <w:r>
        <w:rPr>
          <w:rFonts w:ascii="Century Gothic" w:hAnsi="Century Gothic"/>
          <w:i/>
          <w:sz w:val="20"/>
        </w:rPr>
        <w:t xml:space="preserve">Principles of corporate finance. </w:t>
      </w:r>
      <w:r>
        <w:rPr>
          <w:rFonts w:ascii="Century Gothic" w:hAnsi="Century Gothic"/>
          <w:i w:val="0"/>
          <w:sz w:val="20"/>
        </w:rPr>
        <w:t xml:space="preserve">(13 ed.). </w:t>
      </w:r>
      <w:r>
        <w:rPr>
          <w:rFonts w:ascii="Century Gothic" w:hAnsi="Century Gothic"/>
          <w:i w:val="0"/>
          <w:sz w:val="20"/>
        </w:rPr>
        <w:t>McGraw-Hill Education.</w:t>
      </w:r>
    </w:p>
    <w:p>
      <w:pPr>
        <w:spacing w:lineRule="auto" w:line="240" w:before="0" w:after="0"/>
        <w:ind w:hanging="720" w:left="720"/>
      </w:pPr>
      <w:r>
        <w:rPr>
          <w:rFonts w:ascii="Century Gothic" w:hAnsi="Century Gothic"/>
          <w:i w:val="0"/>
          <w:sz w:val="20"/>
        </w:rPr>
        <w:t xml:space="preserve">Blank, L., &amp; Tarquin, A. (2018). </w:t>
      </w:r>
      <w:r>
        <w:rPr>
          <w:rFonts w:ascii="Century Gothic" w:hAnsi="Century Gothic"/>
          <w:i/>
          <w:sz w:val="20"/>
        </w:rPr>
        <w:t xml:space="preserve">Engineering economy. </w:t>
      </w:r>
      <w:r>
        <w:rPr>
          <w:rFonts w:ascii="Century Gothic" w:hAnsi="Century Gothic"/>
          <w:i w:val="0"/>
          <w:sz w:val="20"/>
        </w:rPr>
        <w:t xml:space="preserve">(8 ed.). </w:t>
      </w:r>
      <w:r>
        <w:rPr>
          <w:rFonts w:ascii="Century Gothic" w:hAnsi="Century Gothic"/>
          <w:i w:val="0"/>
          <w:sz w:val="20"/>
        </w:rPr>
        <w:t>McGraw-Hill Education.</w:t>
      </w:r>
    </w:p>
    <w:p>
      <w:pPr>
        <w:spacing w:lineRule="auto" w:line="240" w:before="0" w:after="0"/>
        <w:ind w:hanging="720" w:left="720"/>
      </w:pPr>
      <w:r>
        <w:rPr>
          <w:rFonts w:ascii="Century Gothic" w:hAnsi="Century Gothic"/>
          <w:i w:val="0"/>
          <w:sz w:val="20"/>
        </w:rPr>
        <w:t xml:space="preserve">Poppendieck, M., &amp; Poppendieck, T. (2013). </w:t>
      </w:r>
      <w:r>
        <w:rPr>
          <w:rFonts w:ascii="Century Gothic" w:hAnsi="Century Gothic"/>
          <w:i/>
          <w:sz w:val="20"/>
        </w:rPr>
        <w:t xml:space="preserve">Lean software development: An agile toolkit. </w:t>
      </w:r>
      <w:r>
        <w:rPr>
          <w:rFonts w:ascii="Century Gothic" w:hAnsi="Century Gothic"/>
          <w:i w:val="0"/>
          <w:sz w:val="20"/>
        </w:rPr>
        <w:t>Addison-Wesley.</w:t>
      </w:r>
    </w:p>
    <w:p>
      <w:pPr>
        <w:spacing w:lineRule="auto" w:line="240" w:before="0" w:after="0"/>
        <w:ind w:hanging="720" w:left="720"/>
      </w:pPr>
      <w:r>
        <w:rPr>
          <w:rFonts w:ascii="Century Gothic" w:hAnsi="Century Gothic"/>
          <w:i w:val="0"/>
          <w:sz w:val="20"/>
        </w:rPr>
        <w:t xml:space="preserve">Ries, E. (2011). </w:t>
      </w:r>
      <w:r>
        <w:rPr>
          <w:rFonts w:ascii="Century Gothic" w:hAnsi="Century Gothic"/>
          <w:i/>
          <w:sz w:val="20"/>
        </w:rPr>
        <w:t xml:space="preserve">The lean startup: How today's entrepreneurs use continuous innovation to create radically successful businesses. </w:t>
      </w:r>
      <w:r>
        <w:rPr>
          <w:rFonts w:ascii="Century Gothic" w:hAnsi="Century Gothic"/>
          <w:i w:val="0"/>
          <w:sz w:val="20"/>
        </w:rPr>
        <w:t>Crown Business.</w:t>
      </w:r>
    </w:p>
    <w:p>
      <w:pPr>
        <w:spacing w:lineRule="auto" w:line="240" w:before="0" w:after="0"/>
        <w:ind w:hanging="720" w:left="720"/>
      </w:pPr>
      <w:r>
        <w:rPr>
          <w:rFonts w:ascii="Century Gothic" w:hAnsi="Century Gothic"/>
          <w:i w:val="0"/>
          <w:sz w:val="20"/>
        </w:rPr>
        <w:t xml:space="preserve">Anderson, D. J., &amp; Carmichael, A. (2016). </w:t>
      </w:r>
      <w:r>
        <w:rPr>
          <w:rFonts w:ascii="Century Gothic" w:hAnsi="Century Gothic"/>
          <w:i/>
          <w:sz w:val="20"/>
        </w:rPr>
        <w:t xml:space="preserve">Essential Kanban condensed. </w:t>
      </w:r>
      <w:r>
        <w:rPr>
          <w:rFonts w:ascii="Century Gothic" w:hAnsi="Century Gothic"/>
          <w:i w:val="0"/>
          <w:sz w:val="20"/>
        </w:rPr>
        <w:t>Lean Kanban University Press.</w:t>
      </w:r>
    </w:p>
    <w:p>
      <w:pPr>
        <w:pStyle w:val="Heading2"/>
        <w:spacing w:lineRule="auto" w:line="240" w:before="0" w:after="0"/>
        <w:ind w:firstLine="0"/>
        <w:keepNext/>
      </w:pPr>
      <w:r>
        <w:rPr>
          <w:rFonts w:ascii="Century Gothic" w:hAnsi="Century Gothic"/>
          <w:sz w:val="20"/>
        </w:rPr>
        <w:t>Documentos Técnicos E Informes</w:t>
      </w:r>
    </w:p>
    <w:p>
      <w:pPr>
        <w:spacing w:lineRule="auto" w:line="240" w:before="0" w:after="0"/>
        <w:ind w:hanging="720" w:left="720"/>
      </w:pPr>
      <w:r>
        <w:rPr>
          <w:rFonts w:ascii="Century Gothic" w:hAnsi="Century Gothic"/>
          <w:i w:val="0"/>
          <w:sz w:val="20"/>
        </w:rPr>
        <w:t xml:space="preserve">Project Management Institute [PMI]. (2021). </w:t>
      </w:r>
      <w:r>
        <w:rPr>
          <w:rFonts w:ascii="Century Gothic" w:hAnsi="Century Gothic"/>
          <w:i/>
          <w:sz w:val="20"/>
        </w:rPr>
        <w:t xml:space="preserve">A guide to the project management body of knowledge (PMBOK Guide). </w:t>
      </w:r>
      <w:r>
        <w:rPr>
          <w:rFonts w:ascii="Century Gothic" w:hAnsi="Century Gothic"/>
          <w:i w:val="0"/>
          <w:sz w:val="20"/>
        </w:rPr>
        <w:t xml:space="preserve">(7th ed.). </w:t>
      </w:r>
      <w:r>
        <w:rPr>
          <w:rFonts w:ascii="Century Gothic" w:hAnsi="Century Gothic"/>
          <w:i w:val="0"/>
          <w:sz w:val="20"/>
        </w:rPr>
        <w:t xml:space="preserve">Project Management Institute. </w:t>
      </w:r>
    </w:p>
    <w:p>
      <w:pPr>
        <w:spacing w:lineRule="auto" w:line="240" w:before="0" w:after="0"/>
        <w:ind w:hanging="720" w:left="720"/>
      </w:pPr>
      <w:r>
        <w:rPr>
          <w:rFonts w:ascii="Century Gothic" w:hAnsi="Century Gothic"/>
          <w:i w:val="0"/>
          <w:sz w:val="20"/>
        </w:rPr>
        <w:t xml:space="preserve">Banco Interamericano de Desarrollo [BID]. (2019). </w:t>
      </w:r>
      <w:r>
        <w:rPr>
          <w:rFonts w:ascii="Century Gothic" w:hAnsi="Century Gothic"/>
          <w:i/>
          <w:sz w:val="20"/>
        </w:rPr>
        <w:t xml:space="preserve">Metodología de formulación y evaluación de proyectos del BID. </w:t>
      </w:r>
      <w:r>
        <w:rPr>
          <w:rFonts w:ascii="Century Gothic" w:hAnsi="Century Gothic"/>
          <w:i w:val="0"/>
          <w:sz w:val="20"/>
        </w:rPr>
        <w:t xml:space="preserve">BID. </w:t>
      </w:r>
      <w:r>
        <w:rPr>
          <w:rFonts w:ascii="Century Gothic" w:hAnsi="Century Gothic"/>
          <w:i w:val="0"/>
          <w:sz w:val="20"/>
        </w:rPr>
        <w:t>https://www.iadb.org/es/metodologia-proyectos</w:t>
      </w:r>
    </w:p>
    <w:p>
      <w:pPr>
        <w:spacing w:lineRule="auto" w:line="240" w:before="0" w:after="0"/>
        <w:ind w:hanging="720" w:left="720"/>
      </w:pPr>
      <w:r>
        <w:rPr>
          <w:rFonts w:ascii="Century Gothic" w:hAnsi="Century Gothic"/>
          <w:i w:val="0"/>
          <w:sz w:val="20"/>
        </w:rPr>
        <w:t xml:space="preserve">Banco Interamericano de Desarrollo [BID]. (2020). </w:t>
      </w:r>
      <w:r>
        <w:rPr>
          <w:rFonts w:ascii="Century Gothic" w:hAnsi="Century Gothic"/>
          <w:i/>
          <w:sz w:val="20"/>
        </w:rPr>
        <w:t xml:space="preserve">Programa de Mejoramiento Integral de Barrios: Evaluación de resultados. </w:t>
      </w:r>
      <w:r>
        <w:rPr>
          <w:rFonts w:ascii="Century Gothic" w:hAnsi="Century Gothic"/>
          <w:i w:val="0"/>
          <w:sz w:val="20"/>
        </w:rPr>
        <w:t xml:space="preserve">BID. </w:t>
      </w:r>
      <w:r>
        <w:rPr>
          <w:rFonts w:ascii="Century Gothic" w:hAnsi="Century Gothic"/>
          <w:i w:val="0"/>
          <w:sz w:val="20"/>
        </w:rPr>
        <w:t>https://www.iadb.org/es/programa-barrios</w:t>
      </w:r>
    </w:p>
    <w:p>
      <w:pPr>
        <w:spacing w:lineRule="auto" w:line="240" w:before="0" w:after="0"/>
        <w:ind w:hanging="720" w:left="720"/>
      </w:pPr>
      <w:r>
        <w:rPr>
          <w:rFonts w:ascii="Century Gothic" w:hAnsi="Century Gothic"/>
          <w:i w:val="0"/>
          <w:sz w:val="20"/>
        </w:rPr>
        <w:t xml:space="preserve">World Bank. (2018). </w:t>
      </w:r>
      <w:r>
        <w:rPr>
          <w:rFonts w:ascii="Century Gothic" w:hAnsi="Century Gothic"/>
          <w:i/>
          <w:sz w:val="20"/>
        </w:rPr>
        <w:t xml:space="preserve">Logical framework approach in project design: Guidelines and best practices. </w:t>
      </w:r>
      <w:r>
        <w:rPr>
          <w:rFonts w:ascii="Century Gothic" w:hAnsi="Century Gothic"/>
          <w:i w:val="0"/>
          <w:sz w:val="20"/>
        </w:rPr>
        <w:t xml:space="preserve">World Bank Group. </w:t>
      </w:r>
      <w:r>
        <w:rPr>
          <w:rFonts w:ascii="Century Gothic" w:hAnsi="Century Gothic"/>
          <w:i w:val="0"/>
          <w:sz w:val="20"/>
        </w:rPr>
        <w:t>https://www.worldbank.org/en/projects-operations/project-design</w:t>
      </w:r>
    </w:p>
    <w:p>
      <w:pPr>
        <w:pStyle w:val="Heading2"/>
        <w:spacing w:lineRule="auto" w:line="240" w:before="0" w:after="0"/>
        <w:ind w:firstLine="0"/>
        <w:keepNext/>
      </w:pPr>
      <w:r>
        <w:rPr>
          <w:rFonts w:ascii="Century Gothic" w:hAnsi="Century Gothic"/>
          <w:sz w:val="20"/>
        </w:rPr>
        <w:t>Recursos Web</w:t>
      </w:r>
    </w:p>
    <w:p>
      <w:pPr>
        <w:spacing w:lineRule="auto" w:line="240" w:before="0" w:after="0"/>
        <w:ind w:hanging="720" w:left="720"/>
      </w:pPr>
      <w:r>
        <w:rPr>
          <w:rFonts w:ascii="Century Gothic" w:hAnsi="Century Gothic"/>
          <w:i w:val="0"/>
          <w:sz w:val="20"/>
        </w:rPr>
        <w:t xml:space="preserve">Schwaber, K., &amp; Sutherland, J. (2020). </w:t>
      </w:r>
      <w:r>
        <w:rPr>
          <w:rFonts w:ascii="Century Gothic" w:hAnsi="Century Gothic"/>
          <w:i w:val="0"/>
          <w:sz w:val="20"/>
        </w:rPr>
        <w:t xml:space="preserve">The Scrum Guide: The definitive guide to Scrum. </w:t>
      </w:r>
      <w:r>
        <w:rPr>
          <w:rFonts w:ascii="Century Gothic" w:hAnsi="Century Gothic"/>
          <w:i w:val="0"/>
          <w:sz w:val="20"/>
        </w:rPr>
        <w:t xml:space="preserve">Recuperado el 28 de junio de 2026, de </w:t>
      </w:r>
      <w:r>
        <w:rPr>
          <w:rFonts w:ascii="Century Gothic" w:hAnsi="Century Gothic"/>
          <w:i w:val="0"/>
          <w:sz w:val="20"/>
        </w:rPr>
        <w:t>https://scrumguides.org/scrum-guide.html</w:t>
      </w:r>
    </w:p>
    <w:p>
      <w:pPr>
        <w:spacing w:lineRule="auto" w:line="240" w:before="0" w:after="0"/>
        <w:ind w:hanging="720" w:left="720"/>
      </w:pPr>
      <w:r>
        <w:rPr>
          <w:rFonts w:ascii="Century Gothic" w:hAnsi="Century Gothic"/>
          <w:i w:val="0"/>
          <w:sz w:val="20"/>
        </w:rPr>
        <w:t xml:space="preserve">Beck, K., et al. (2001). </w:t>
      </w:r>
      <w:r>
        <w:rPr>
          <w:rFonts w:ascii="Century Gothic" w:hAnsi="Century Gothic"/>
          <w:i w:val="0"/>
          <w:sz w:val="20"/>
        </w:rPr>
        <w:t xml:space="preserve">Manifesto for Agile Software Development. </w:t>
      </w:r>
      <w:r>
        <w:rPr>
          <w:rFonts w:ascii="Century Gothic" w:hAnsi="Century Gothic"/>
          <w:i w:val="0"/>
          <w:sz w:val="20"/>
        </w:rPr>
        <w:t xml:space="preserve">Recuperado el 28 de junio de 2026, de </w:t>
      </w:r>
      <w:r>
        <w:rPr>
          <w:rFonts w:ascii="Century Gothic" w:hAnsi="Century Gothic"/>
          <w:i w:val="0"/>
          <w:sz w:val="20"/>
        </w:rPr>
        <w:t>https://agilemanifesto.org/</w:t>
      </w:r>
    </w:p>
    <w:p>
      <w:pPr>
        <w:spacing w:lineRule="auto" w:line="240" w:before="0" w:after="0"/>
        <w:ind w:hanging="720" w:left="720"/>
      </w:pPr>
      <w:r>
        <w:rPr>
          <w:rFonts w:ascii="Century Gothic" w:hAnsi="Century Gothic"/>
          <w:i w:val="0"/>
          <w:sz w:val="20"/>
        </w:rPr>
        <w:t xml:space="preserve">Axelos (2019). </w:t>
      </w:r>
      <w:r>
        <w:rPr>
          <w:rFonts w:ascii="Century Gothic" w:hAnsi="Century Gothic"/>
          <w:i w:val="0"/>
          <w:sz w:val="20"/>
        </w:rPr>
        <w:t xml:space="preserve">PRINCE2 Agile: Guidance for agile project management. </w:t>
      </w:r>
      <w:r>
        <w:rPr>
          <w:rFonts w:ascii="Century Gothic" w:hAnsi="Century Gothic"/>
          <w:i w:val="0"/>
          <w:sz w:val="20"/>
        </w:rPr>
        <w:t xml:space="preserve">Recuperado el 28 de junio de 2026, de </w:t>
      </w:r>
      <w:r>
        <w:rPr>
          <w:rFonts w:ascii="Century Gothic" w:hAnsi="Century Gothic"/>
          <w:i w:val="0"/>
          <w:sz w:val="20"/>
        </w:rPr>
        <w:t>https://www.axelos.com/prince2-agile</w:t>
      </w:r>
    </w:p>
    <w:p>
      <w:pPr>
        <w:spacing w:lineRule="auto" w:line="240" w:before="0" w:after="0"/>
        <w:ind w:hanging="720" w:left="720"/>
      </w:pPr>
      <w:r>
        <w:rPr>
          <w:rFonts w:ascii="Century Gothic" w:hAnsi="Century Gothic"/>
          <w:i w:val="0"/>
          <w:sz w:val="20"/>
        </w:rPr>
        <w:t xml:space="preserve">Vanclay, F., Esteves, A. M., &amp; Aucamp, I. (2017). </w:t>
      </w:r>
      <w:r>
        <w:rPr>
          <w:rFonts w:ascii="Century Gothic" w:hAnsi="Century Gothic"/>
          <w:i w:val="0"/>
          <w:sz w:val="20"/>
        </w:rPr>
        <w:t xml:space="preserve">Social impact assessment: Guidance for assessing and managing the social impacts of projects. </w:t>
      </w:r>
      <w:r>
        <w:rPr>
          <w:rFonts w:ascii="Century Gothic" w:hAnsi="Century Gothic"/>
          <w:i w:val="0"/>
          <w:sz w:val="20"/>
        </w:rPr>
        <w:t xml:space="preserve">Recuperado el 28 de junio de 2026, de </w:t>
      </w:r>
      <w:r>
        <w:rPr>
          <w:rFonts w:ascii="Century Gothic" w:hAnsi="Century Gothic"/>
          <w:i w:val="0"/>
          <w:sz w:val="20"/>
        </w:rPr>
        <w:t>https://www.iaia.org/social-impact-assessment.php</w:t>
      </w:r>
    </w:p>
    <w:p>
      <w:pPr>
        <w:spacing w:lineRule="auto" w:line="240" w:before="0" w:after="0"/>
        <w:ind w:hanging="720" w:left="720"/>
      </w:pPr>
      <w:r>
        <w:rPr>
          <w:rFonts w:ascii="Century Gothic" w:hAnsi="Century Gothic"/>
          <w:i w:val="0"/>
          <w:sz w:val="20"/>
        </w:rPr>
        <w:t xml:space="preserve">Eastman, C., Teicholz, P., Sacks, R., &amp; Liston, K. (2018). </w:t>
      </w:r>
      <w:r>
        <w:rPr>
          <w:rFonts w:ascii="Century Gothic" w:hAnsi="Century Gothic"/>
          <w:i w:val="0"/>
          <w:sz w:val="20"/>
        </w:rPr>
        <w:t xml:space="preserve">BIM Handbook: A guide to building information modeling. </w:t>
      </w:r>
      <w:r>
        <w:rPr>
          <w:rFonts w:ascii="Century Gothic" w:hAnsi="Century Gothic"/>
          <w:i w:val="0"/>
          <w:sz w:val="20"/>
        </w:rPr>
        <w:t xml:space="preserve">Recuperado el 28 de junio de 2026, de </w:t>
      </w:r>
      <w:r>
        <w:rPr>
          <w:rFonts w:ascii="Century Gothic" w:hAnsi="Century Gothic"/>
          <w:i w:val="0"/>
          <w:sz w:val="20"/>
        </w:rPr>
        <w:t>https://www.wiley.com/en-us/BIM+Handbook-p-9781119287551</w:t>
      </w:r>
    </w:p>
    <w:p>
      <w:pPr>
        <w:spacing w:lineRule="auto" w:line="240" w:before="0" w:after="0"/>
        <w:ind w:hanging="720" w:left="720"/>
      </w:pPr>
      <w:r>
        <w:rPr>
          <w:rFonts w:ascii="Century Gothic" w:hAnsi="Century Gothic"/>
          <w:i w:val="0"/>
          <w:sz w:val="20"/>
        </w:rPr>
        <w:t xml:space="preserve">Vélez, C. (2022). </w:t>
      </w:r>
      <w:r>
        <w:rPr>
          <w:rFonts w:ascii="Century Gothic" w:hAnsi="Century Gothic"/>
          <w:i w:val="0"/>
          <w:sz w:val="20"/>
        </w:rPr>
        <w:t xml:space="preserve">Nubank: La revolución fintech que transformó América Latina. </w:t>
      </w:r>
      <w:r>
        <w:rPr>
          <w:rFonts w:ascii="Century Gothic" w:hAnsi="Century Gothic"/>
          <w:i w:val="0"/>
          <w:sz w:val="20"/>
        </w:rPr>
        <w:t xml:space="preserve">Recuperado el 28 de junio de 2026, de </w:t>
      </w:r>
      <w:r>
        <w:rPr>
          <w:rFonts w:ascii="Century Gothic" w:hAnsi="Century Gothic"/>
          <w:i w:val="0"/>
          <w:sz w:val="20"/>
        </w:rPr>
        <w:t>https://hbr.org/america-latina/2022/nubank</w:t>
      </w:r>
    </w:p>
    <w:p>
      <w:pPr>
        <w:spacing w:lineRule="auto" w:line="240" w:before="0" w:after="0"/>
        <w:ind w:hanging="720" w:left="720"/>
      </w:pPr>
      <w:r>
        <w:rPr>
          <w:rFonts w:ascii="Century Gothic" w:hAnsi="Century Gothic"/>
          <w:i w:val="0"/>
          <w:sz w:val="20"/>
        </w:rPr>
        <w:t xml:space="preserve">Project Management Institute (2024). </w:t>
      </w:r>
      <w:r>
        <w:rPr>
          <w:rFonts w:ascii="Century Gothic" w:hAnsi="Century Gothic"/>
          <w:i w:val="0"/>
          <w:sz w:val="20"/>
        </w:rPr>
        <w:t xml:space="preserve">AI innovation: Generative AI in project management. </w:t>
      </w:r>
      <w:r>
        <w:rPr>
          <w:rFonts w:ascii="Century Gothic" w:hAnsi="Century Gothic"/>
          <w:i w:val="0"/>
          <w:sz w:val="20"/>
        </w:rPr>
        <w:t xml:space="preserve">Recuperado el 28 de junio de 2026, de </w:t>
      </w:r>
      <w:r>
        <w:rPr>
          <w:rFonts w:ascii="Century Gothic" w:hAnsi="Century Gothic"/>
          <w:i w:val="0"/>
          <w:sz w:val="20"/>
        </w:rPr>
        <w:t>https://www.pmi.org/ai-innovation</w:t>
      </w:r>
    </w:p>
    <w:sectPr w:rsidR="00FC693F" w:rsidRPr="0006063C" w:rsidSect="00034616">
      <w:headerReference w:type="default" r:id="rId9"/>
      <w:pgSz w:w="12240" w:h="15840"/>
      <w:pgMar w:top="1440" w:right="1440" w:bottom="1440" w:left="144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Century Gothic" w:hAnsi="Century Gothic"/>
        <w:sz w:val="20"/>
      </w:rPr>
      <w:fldChar w:fldCharType="begin"/>
    </w:r>
    <w:r>
      <w:rPr>
        <w:rFonts w:ascii="Century Gothic" w:hAnsi="Century Gothic"/>
        <w:sz w:val="20"/>
      </w:rPr>
      <w:instrText xml:space="preserve"> PAGE </w:instrText>
    </w:r>
    <w:r>
      <w:rPr>
        <w:rFonts w:ascii="Century Gothic" w:hAnsi="Century Gothic"/>
        <w:sz w:val="20"/>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40" w:before="0" w:after="0"/>
      <w:jc w:val="left"/>
    </w:pPr>
    <w:rPr>
      <w:rFonts w:ascii="Century Gothic" w:hAnsi="Century Gothi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Rule="auto" w:line="240"/>
      <w:jc w:val="center"/>
      <w:outlineLvl w:val="1"/>
    </w:pPr>
    <w:rPr>
      <w:rFonts w:asciiTheme="majorHAnsi" w:eastAsiaTheme="majorEastAsia" w:hAnsiTheme="majorHAnsi" w:cstheme="majorBidi" w:ascii="Century Gothic" w:hAnsi="Century Gothic"/>
      <w:b/>
      <w:bCs/>
      <w:i w:val="0"/>
      <w:color w:val="000000"/>
      <w:sz w:val="20"/>
      <w:szCs w:val="28"/>
    </w:rPr>
  </w:style>
  <w:style w:type="paragraph" w:styleId="Heading2">
    <w:name w:val="heading 2"/>
    <w:basedOn w:val="Normal"/>
    <w:next w:val="Normal"/>
    <w:link w:val="Heading2Char"/>
    <w:uiPriority w:val="9"/>
    <w:unhideWhenUsed/>
    <w:qFormat/>
    <w:rsid w:val="00FC693F"/>
    <w:pPr>
      <w:keepNext/>
      <w:keepLines/>
      <w:spacing w:before="0" w:after="0" w:lineRule="auto" w:line="240"/>
      <w:jc w:val="left"/>
      <w:outlineLvl w:val="2"/>
    </w:pPr>
    <w:rPr>
      <w:rFonts w:asciiTheme="majorHAnsi" w:eastAsiaTheme="majorEastAsia" w:hAnsiTheme="majorHAnsi" w:cstheme="majorBidi" w:ascii="Century Gothic" w:hAnsi="Century Gothic"/>
      <w:b/>
      <w:bCs/>
      <w:i w:val="0"/>
      <w:color w:val="000000"/>
      <w:sz w:val="20"/>
      <w:szCs w:val="26"/>
    </w:rPr>
  </w:style>
  <w:style w:type="paragraph" w:styleId="Heading3">
    <w:name w:val="heading 3"/>
    <w:basedOn w:val="Normal"/>
    <w:next w:val="Normal"/>
    <w:link w:val="Heading3Char"/>
    <w:uiPriority w:val="9"/>
    <w:unhideWhenUsed/>
    <w:qFormat/>
    <w:rsid w:val="00FC693F"/>
    <w:pPr>
      <w:keepNext/>
      <w:keepLines/>
      <w:spacing w:before="0" w:after="0" w:lineRule="auto" w:line="240"/>
      <w:jc w:val="left"/>
      <w:outlineLvl w:val="3"/>
    </w:pPr>
    <w:rPr>
      <w:rFonts w:asciiTheme="majorHAnsi" w:eastAsiaTheme="majorEastAsia" w:hAnsiTheme="majorHAnsi" w:cstheme="majorBidi" w:ascii="Century Gothic" w:hAnsi="Century Gothic"/>
      <w:b/>
      <w:bCs/>
      <w:i/>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