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40" w:before="0" w:after="0"/>
      </w:pPr>
      <w:r>
        <w:rPr>
          <w:rFonts w:ascii="Century Gothic" w:hAnsi="Century Gothic"/>
          <w:sz w:val="20"/>
        </w:rPr>
      </w:r>
    </w:p>
    <w:p>
      <w:pPr>
        <w:spacing w:lineRule="auto" w:line="240" w:before="0" w:after="0"/>
      </w:pPr>
      <w:r>
        <w:rPr>
          <w:rFonts w:ascii="Century Gothic" w:hAnsi="Century Gothic"/>
          <w:sz w:val="20"/>
        </w:rPr>
      </w:r>
    </w:p>
    <w:p>
      <w:pPr>
        <w:spacing w:lineRule="auto" w:line="240" w:before="0" w:after="0"/>
      </w:pPr>
      <w:r>
        <w:rPr>
          <w:rFonts w:ascii="Century Gothic" w:hAnsi="Century Gothic"/>
          <w:sz w:val="20"/>
        </w:rPr>
      </w:r>
    </w:p>
    <w:p>
      <w:pPr>
        <w:spacing w:lineRule="auto" w:line="240" w:before="0" w:after="0"/>
        <w:ind w:firstLine="0"/>
        <w:jc w:val="center"/>
      </w:pPr>
      <w:r>
        <w:rPr>
          <w:rFonts w:ascii="Century Gothic" w:hAnsi="Century Gothic"/>
          <w:b/>
          <w:i w:val="0"/>
          <w:sz w:val="20"/>
        </w:rPr>
        <w:t>Resumen Ejecutivo: Metodologías de Formulación y Evaluación de Proyectos de Inversión</w:t>
      </w:r>
    </w:p>
    <w:p>
      <w:pPr>
        <w:spacing w:lineRule="auto" w:line="240" w:before="0" w:after="0"/>
        <w:jc w:val="center"/>
      </w:pPr>
    </w:p>
    <w:p>
      <w:pPr>
        <w:spacing w:lineRule="auto" w:line="240" w:before="0" w:after="0"/>
        <w:jc w:val="center"/>
      </w:pPr>
      <w:r>
        <w:rPr>
          <w:rFonts w:ascii="Century Gothic" w:hAnsi="Century Gothic"/>
          <w:b w:val="0"/>
          <w:i w:val="0"/>
          <w:sz w:val="20"/>
        </w:rPr>
        <w:t>Alex Joan Roblero Quiros, Roberto Benavente Jimenez y Carlos Gutierrez Barrios</w:t>
      </w:r>
    </w:p>
    <w:p>
      <w:pPr>
        <w:spacing w:lineRule="auto" w:line="240" w:before="0" w:after="0"/>
        <w:jc w:val="center"/>
      </w:pPr>
      <w:r>
        <w:rPr>
          <w:rFonts w:ascii="Century Gothic" w:hAnsi="Century Gothic"/>
          <w:b w:val="0"/>
          <w:i w:val="0"/>
          <w:sz w:val="20"/>
        </w:rPr>
        <w:t>Universidad Americana de Europa (UNADE)</w:t>
      </w:r>
    </w:p>
    <w:p>
      <w:pPr>
        <w:spacing w:lineRule="auto" w:line="240" w:before="0" w:after="0"/>
        <w:jc w:val="center"/>
      </w:pPr>
      <w:r>
        <w:rPr>
          <w:rFonts w:ascii="Century Gothic" w:hAnsi="Century Gothic"/>
          <w:b w:val="0"/>
          <w:i w:val="0"/>
          <w:sz w:val="20"/>
        </w:rPr>
        <w:t>Curso: Técnicas de Formulación de Proyectos</w:t>
      </w:r>
    </w:p>
    <w:p>
      <w:pPr>
        <w:spacing w:lineRule="auto" w:line="240" w:before="0" w:after="0"/>
        <w:jc w:val="center"/>
      </w:pPr>
      <w:r>
        <w:rPr>
          <w:rFonts w:ascii="Century Gothic" w:hAnsi="Century Gothic"/>
          <w:b w:val="0"/>
          <w:i w:val="0"/>
          <w:sz w:val="20"/>
        </w:rPr>
        <w:t>27 de June de 2026</w:t>
      </w:r>
    </w:p>
    <w:p>
      <w:r>
        <w:br w:type="page"/>
      </w:r>
    </w:p>
    <w:p>
      <w:pPr>
        <w:pStyle w:val="Heading1"/>
        <w:spacing w:lineRule="auto" w:line="240" w:before="0" w:after="0"/>
        <w:ind w:firstLine="0"/>
        <w:keepNext/>
      </w:pPr>
      <w:r>
        <w:rPr>
          <w:rFonts w:ascii="Century Gothic" w:hAnsi="Century Gothic"/>
          <w:sz w:val="20"/>
        </w:rPr>
        <w:t>Resumen Ejecutivo</w:t>
      </w:r>
    </w:p>
    <w:p>
      <w:pPr>
        <w:spacing w:lineRule="auto" w:line="240" w:before="0" w:after="0"/>
        <w:ind w:firstLine="720"/>
        <w:jc w:val="left"/>
      </w:pPr>
      <w:r>
        <w:rPr>
          <w:rFonts w:ascii="Century Gothic" w:hAnsi="Century Gothic"/>
          <w:b w:val="0"/>
          <w:i w:val="0"/>
          <w:sz w:val="20"/>
        </w:rPr>
        <w:t>El presente informe presenta un análisis comparativo de las principales metodologías para la formulación y evaluación de proyectos de inversión, contrastando los enfoques tradicionales (PMBOK, Metodología de Marco Lógico, metodología del BID) con las metodologías ágiles (Scrum, Kanban, Lean Project Management). El estudio, realizado en el marco del curso Técnicas de Formulación de Proyectos de la Universidad Americana de Europa, tiene como objetivo proporcionar una guía práctica para la selección de metodologías según el tipo de proyecto y contexto organizacional.</w:t>
      </w:r>
    </w:p>
    <w:p>
      <w:pPr>
        <w:spacing w:lineRule="auto" w:line="240" w:before="0" w:after="0"/>
        <w:ind w:firstLine="720"/>
        <w:jc w:val="left"/>
      </w:pPr>
      <w:r>
        <w:rPr>
          <w:rFonts w:ascii="Century Gothic" w:hAnsi="Century Gothic"/>
          <w:b w:val="0"/>
          <w:i w:val="0"/>
          <w:sz w:val="20"/>
        </w:rPr>
        <w:t>La investigación se fundamenta en una revisión sistemática de literatura académica y profesional publicada entre 2010 y 2025, complementada con el análisis de casos de aplicación en el contexto latinoamericano. El documento principal consta de más de quince secciones que abordan los fundamentos teóricos de la formulación de proyectos, la evaluación financiera, la gestión de riesgos, y el análisis detallado de cada metodología.</w:t>
      </w:r>
    </w:p>
    <w:p>
      <w:pPr>
        <w:pStyle w:val="Heading1"/>
        <w:spacing w:lineRule="auto" w:line="240" w:before="0" w:after="0"/>
        <w:ind w:firstLine="0"/>
        <w:keepNext/>
      </w:pPr>
      <w:r>
        <w:rPr>
          <w:rFonts w:ascii="Century Gothic" w:hAnsi="Century Gothic"/>
          <w:sz w:val="20"/>
        </w:rPr>
        <w:t>Hallazgos Principales</w:t>
      </w:r>
    </w:p>
    <w:p>
      <w:pPr>
        <w:spacing w:lineRule="auto" w:line="240" w:before="0" w:after="0"/>
        <w:ind w:firstLine="720"/>
        <w:jc w:val="left"/>
      </w:pPr>
      <w:r>
        <w:rPr>
          <w:rFonts w:ascii="Century Gothic" w:hAnsi="Century Gothic"/>
          <w:b w:val="0"/>
          <w:i w:val="0"/>
          <w:sz w:val="20"/>
        </w:rPr>
        <w:t>El análisis revela que no existe una metodología universalmente superior; la efectividad de cada enfoque depende del tipo de proyecto, el nivel de incertidumbre, los requisitos regulatorios y las capacidades del equipo. Las metodologías tradicionales ofrecen estructuras robustas para proyectos de gran escala con requisitos de documentación y rendición de cuentas, mientras que las metodologías ágiles demuestran ventajas en entornos de alta incertidumbre donde la adaptabilidad es crítica.</w:t>
      </w:r>
    </w:p>
    <w:p>
      <w:pPr>
        <w:spacing w:lineRule="auto" w:line="240" w:before="0" w:after="0"/>
        <w:ind w:firstLine="720"/>
        <w:jc w:val="left"/>
      </w:pPr>
      <w:r>
        <w:rPr>
          <w:rFonts w:ascii="Century Gothic" w:hAnsi="Century Gothic"/>
          <w:b w:val="0"/>
          <w:i w:val="0"/>
          <w:sz w:val="20"/>
        </w:rPr>
        <w:t>La tendencia más significativa identificada es el desarrollo de modelos híbridos que integran elementos de múltiples metodologías, como Water-Scrum-Fall y PRINCE2-Ágil, que permiten combinar la rigurosidad de la planificación tradicional con la flexibilidad de la ejecución ágil. Estos enfoques híbridos representan la evolución más prometedora en el campo de la gestión de proyectos contemporánea.</w:t>
      </w:r>
    </w:p>
    <w:p>
      <w:pPr>
        <w:pStyle w:val="Heading1"/>
        <w:spacing w:lineRule="auto" w:line="240" w:before="0" w:after="0"/>
        <w:ind w:firstLine="0"/>
        <w:keepNext/>
      </w:pPr>
      <w:r>
        <w:rPr>
          <w:rFonts w:ascii="Century Gothic" w:hAnsi="Century Gothic"/>
          <w:sz w:val="20"/>
        </w:rPr>
        <w:t>Recomendaciones</w:t>
      </w:r>
    </w:p>
    <w:p>
      <w:pPr>
        <w:spacing w:lineRule="auto" w:line="240" w:before="0" w:after="0"/>
        <w:ind w:firstLine="720"/>
        <w:jc w:val="left"/>
      </w:pPr>
      <w:r>
        <w:rPr>
          <w:rFonts w:ascii="Century Gothic" w:hAnsi="Century Gothic"/>
          <w:b w:val="0"/>
          <w:i w:val="0"/>
          <w:sz w:val="20"/>
        </w:rPr>
        <w:t>Se recomienda que las organizaciones desarrollen un portafolio diversificado de capacidades metodológicas que les permita seleccionar y combinar enfoques según las necesidades específicas de cada proyecto. Para proyectos de infraestructura y financiamiento multilateral, se recomienda mantener la rigurosidad del PMBOK o el Marco Lógico, complementados con prácticas ágiles en la ejecución. Para proyectos de innovación y emprendimiento, se recomienda adoptar Scrum o Lean Startup como metodología principal, con controles financieros periódicos para garantizar la viabilidad económica.</w:t>
      </w:r>
    </w:p>
    <w:p>
      <w:pPr>
        <w:spacing w:lineRule="auto" w:line="240" w:before="0" w:after="0"/>
        <w:ind w:firstLine="720"/>
        <w:jc w:val="left"/>
      </w:pPr>
      <w:r>
        <w:rPr>
          <w:rFonts w:ascii="Century Gothic" w:hAnsi="Century Gothic"/>
          <w:b w:val="0"/>
          <w:i w:val="0"/>
          <w:sz w:val="20"/>
        </w:rPr>
        <w:t>La incorporación de tecnologías digitales, particularmente inteligencia artificial y plataformas de colaboración, debe ser una prioridad estratégica para mejorar la eficiencia y efectividad de la gestión de proyectos. La formación continua del equipo en metodologías tradicionales y ágiles, así como en herramientas tecnológicas, constituye una inversión fundamental para el éxito organizacional en el mediano y largo plazo.</w:t>
      </w:r>
    </w:p>
    <w:p>
      <w:pPr>
        <w:pStyle w:val="Heading1"/>
        <w:spacing w:lineRule="auto" w:line="240" w:before="0" w:after="0"/>
        <w:ind w:firstLine="0"/>
        <w:keepNext/>
      </w:pPr>
      <w:r>
        <w:rPr>
          <w:rFonts w:ascii="Century Gothic" w:hAnsi="Century Gothic"/>
          <w:sz w:val="20"/>
        </w:rPr>
        <w:t>Referencias</w:t>
      </w:r>
    </w:p>
    <w:p>
      <w:pPr>
        <w:spacing w:lineRule="auto" w:line="240" w:before="0" w:after="0"/>
        <w:ind w:hanging="720" w:left="720"/>
      </w:pPr>
      <w:r>
        <w:rPr>
          <w:rFonts w:ascii="Century Gothic" w:hAnsi="Century Gothic"/>
          <w:i w:val="0"/>
          <w:sz w:val="20"/>
        </w:rPr>
        <w:t xml:space="preserve">Boehm, B., &amp; Turner, R. (2014). </w:t>
      </w:r>
      <w:r>
        <w:rPr>
          <w:rFonts w:ascii="Century Gothic" w:hAnsi="Century Gothic"/>
          <w:i/>
          <w:sz w:val="20"/>
        </w:rPr>
        <w:t xml:space="preserve">Balancing agility and discipline: A guide for the perplexed. </w:t>
      </w:r>
      <w:r>
        <w:rPr>
          <w:rFonts w:ascii="Century Gothic" w:hAnsi="Century Gothic"/>
          <w:i/>
          <w:sz w:val="20"/>
        </w:rPr>
        <w:t xml:space="preserve">IEEE Software, </w:t>
      </w:r>
      <w:r>
        <w:rPr>
          <w:rFonts w:ascii="Century Gothic" w:hAnsi="Century Gothic"/>
          <w:i/>
          <w:sz w:val="20"/>
        </w:rPr>
        <w:t>31</w:t>
      </w:r>
      <w:r>
        <w:rPr>
          <w:rFonts w:ascii="Century Gothic" w:hAnsi="Century Gothic"/>
          <w:i w:val="0"/>
          <w:sz w:val="20"/>
        </w:rPr>
        <w:t xml:space="preserve">, </w:t>
      </w:r>
      <w:r>
        <w:rPr>
          <w:rFonts w:ascii="Century Gothic" w:hAnsi="Century Gothic"/>
          <w:i w:val="0"/>
          <w:sz w:val="20"/>
        </w:rPr>
        <w:t>48-55.</w:t>
      </w:r>
      <w:r>
        <w:rPr>
          <w:rFonts w:ascii="Century Gothic" w:hAnsi="Century Gothic"/>
          <w:i w:val="0"/>
          <w:sz w:val="20"/>
        </w:rPr>
        <w:t xml:space="preserve"> doi:10.1109/MS.2014.33</w:t>
      </w:r>
    </w:p>
    <w:p>
      <w:pPr>
        <w:spacing w:lineRule="auto" w:line="240" w:before="0" w:after="0"/>
        <w:ind w:hanging="720" w:left="720"/>
      </w:pPr>
      <w:r>
        <w:rPr>
          <w:rFonts w:ascii="Century Gothic" w:hAnsi="Century Gothic"/>
          <w:i w:val="0"/>
          <w:sz w:val="20"/>
        </w:rPr>
        <w:t xml:space="preserve">Sapag Chain, N., &amp; Sapag Chain, R. (2014). </w:t>
      </w:r>
      <w:r>
        <w:rPr>
          <w:rFonts w:ascii="Century Gothic" w:hAnsi="Century Gothic"/>
          <w:i/>
          <w:sz w:val="20"/>
        </w:rPr>
        <w:t xml:space="preserve">Preparación y evaluación de proyectos. </w:t>
      </w:r>
      <w:r>
        <w:rPr>
          <w:rFonts w:ascii="Century Gothic" w:hAnsi="Century Gothic"/>
          <w:i w:val="0"/>
          <w:sz w:val="20"/>
        </w:rPr>
        <w:t xml:space="preserve">(6 ed.). </w:t>
      </w:r>
      <w:r>
        <w:rPr>
          <w:rFonts w:ascii="Century Gothic" w:hAnsi="Century Gothic"/>
          <w:i w:val="0"/>
          <w:sz w:val="20"/>
        </w:rPr>
        <w:t>McGraw-Hill Education.</w:t>
      </w:r>
    </w:p>
    <w:p>
      <w:pPr>
        <w:spacing w:lineRule="auto" w:line="240" w:before="0" w:after="0"/>
        <w:ind w:hanging="720" w:left="720"/>
      </w:pPr>
      <w:r>
        <w:rPr>
          <w:rFonts w:ascii="Century Gothic" w:hAnsi="Century Gothic"/>
          <w:i w:val="0"/>
          <w:sz w:val="20"/>
        </w:rPr>
        <w:t xml:space="preserve">Project Management Institute [PMI]. (2021). </w:t>
      </w:r>
      <w:r>
        <w:rPr>
          <w:rFonts w:ascii="Century Gothic" w:hAnsi="Century Gothic"/>
          <w:i/>
          <w:sz w:val="20"/>
        </w:rPr>
        <w:t xml:space="preserve">A guide to the project management body of knowledge (PMBOK Guide). </w:t>
      </w:r>
      <w:r>
        <w:rPr>
          <w:rFonts w:ascii="Century Gothic" w:hAnsi="Century Gothic"/>
          <w:i w:val="0"/>
          <w:sz w:val="20"/>
        </w:rPr>
        <w:t xml:space="preserve">(7th ed.). </w:t>
      </w:r>
      <w:r>
        <w:rPr>
          <w:rFonts w:ascii="Century Gothic" w:hAnsi="Century Gothic"/>
          <w:i w:val="0"/>
          <w:sz w:val="20"/>
        </w:rPr>
        <w:t xml:space="preserve">Project Management Institute. </w:t>
      </w:r>
    </w:p>
    <w:p>
      <w:pPr>
        <w:spacing w:lineRule="auto" w:line="240" w:before="0" w:after="0"/>
        <w:ind w:hanging="720" w:left="720"/>
      </w:pPr>
      <w:r>
        <w:rPr>
          <w:rFonts w:ascii="Century Gothic" w:hAnsi="Century Gothic"/>
          <w:i w:val="0"/>
          <w:sz w:val="20"/>
        </w:rPr>
        <w:t xml:space="preserve">Schwaber, K., &amp; Sutherland, J. (2020). </w:t>
      </w:r>
      <w:r>
        <w:rPr>
          <w:rFonts w:ascii="Century Gothic" w:hAnsi="Century Gothic"/>
          <w:i w:val="0"/>
          <w:sz w:val="20"/>
        </w:rPr>
        <w:t xml:space="preserve">The Scrum Guide: The definitive guide to Scrum. </w:t>
      </w:r>
      <w:r>
        <w:rPr>
          <w:rFonts w:ascii="Century Gothic" w:hAnsi="Century Gothic"/>
          <w:i w:val="0"/>
          <w:sz w:val="20"/>
        </w:rPr>
        <w:t xml:space="preserve">Recuperado el 28 de junio de 2026, de </w:t>
      </w:r>
      <w:r>
        <w:rPr>
          <w:rFonts w:ascii="Century Gothic" w:hAnsi="Century Gothic"/>
          <w:i w:val="0"/>
          <w:sz w:val="20"/>
        </w:rPr>
        <w:t>https://scrumguides.org/scrum-guide.html</w:t>
      </w:r>
    </w:p>
    <w:sectPr w:rsidR="00FC693F" w:rsidRPr="0006063C" w:rsidSect="00034616">
      <w:headerReference w:type="default" r:id="rId9"/>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entury Gothic" w:hAnsi="Century Gothic"/>
        <w:sz w:val="20"/>
      </w:rPr>
      <w:fldChar w:fldCharType="begin"/>
    </w:r>
    <w:r>
      <w:rPr>
        <w:rFonts w:ascii="Century Gothic" w:hAnsi="Century Gothic"/>
        <w:sz w:val="20"/>
      </w:rPr>
      <w:instrText xml:space="preserve"> PAGE </w:instrText>
    </w:r>
    <w:r>
      <w:rPr>
        <w:rFonts w:ascii="Century Gothic" w:hAnsi="Century Gothic"/>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40" w:before="0" w:after="0"/>
      <w:jc w:val="left"/>
    </w:pPr>
    <w:rPr>
      <w:rFonts w:ascii="Century Gothic" w:hAnsi="Century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40"/>
      <w:jc w:val="center"/>
      <w:outlineLvl w:val="1"/>
    </w:pPr>
    <w:rPr>
      <w:rFonts w:asciiTheme="majorHAnsi" w:eastAsiaTheme="majorEastAsia" w:hAnsiTheme="majorHAnsi" w:cstheme="majorBidi" w:ascii="Century Gothic" w:hAnsi="Century Gothic"/>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0" w:after="0" w:lineRule="auto" w:line="240"/>
      <w:jc w:val="left"/>
      <w:outlineLvl w:val="2"/>
    </w:pPr>
    <w:rPr>
      <w:rFonts w:asciiTheme="majorHAnsi" w:eastAsiaTheme="majorEastAsia" w:hAnsiTheme="majorHAnsi" w:cstheme="majorBidi" w:ascii="Century Gothic" w:hAnsi="Century Gothic"/>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0" w:after="0" w:lineRule="auto" w:line="240"/>
      <w:jc w:val="left"/>
      <w:outlineLvl w:val="3"/>
    </w:pPr>
    <w:rPr>
      <w:rFonts w:asciiTheme="majorHAnsi" w:eastAsiaTheme="majorEastAsia" w:hAnsiTheme="majorHAnsi" w:cstheme="majorBidi" w:ascii="Century Gothic" w:hAnsi="Century Gothic"/>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