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27D2" w14:textId="77777777" w:rsidR="0045072E" w:rsidRDefault="0045072E">
      <w:pPr>
        <w:jc w:val="center"/>
      </w:pPr>
    </w:p>
    <w:p w14:paraId="5D5DC62A" w14:textId="77777777" w:rsidR="00EB65DE" w:rsidRPr="005E0509" w:rsidRDefault="00EB65DE" w:rsidP="00EB65DE">
      <w:pPr>
        <w:jc w:val="center"/>
        <w:rPr>
          <w:rFonts w:cs="Times New Roman"/>
          <w:sz w:val="32"/>
          <w:szCs w:val="32"/>
          <w:lang w:val="es-MX"/>
        </w:rPr>
      </w:pPr>
      <w:r>
        <w:rPr>
          <w:noProof/>
        </w:rPr>
        <w:drawing>
          <wp:anchor distT="0" distB="0" distL="114300" distR="114300" simplePos="0" relativeHeight="251659264" behindDoc="1" locked="0" layoutInCell="1" allowOverlap="1" wp14:anchorId="47376EB8" wp14:editId="349F52B9">
            <wp:simplePos x="0" y="0"/>
            <wp:positionH relativeFrom="column">
              <wp:posOffset>-457200</wp:posOffset>
            </wp:positionH>
            <wp:positionV relativeFrom="paragraph">
              <wp:posOffset>-523875</wp:posOffset>
            </wp:positionV>
            <wp:extent cx="1002323" cy="1002323"/>
            <wp:effectExtent l="0" t="0" r="7620" b="7620"/>
            <wp:wrapNone/>
            <wp:docPr id="852740509" name="Imagen 1" descr="Universidad Hispanoamericana de Costa Rica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Hispanoamericana de Costa Rica | Faceboo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2323" cy="10023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0509">
        <w:rPr>
          <w:rFonts w:cs="Times New Roman"/>
          <w:sz w:val="32"/>
          <w:szCs w:val="32"/>
          <w:lang w:val="es-MX"/>
        </w:rPr>
        <w:t>UNIVERSIDAD HISPANOAMERICANA</w:t>
      </w:r>
    </w:p>
    <w:p w14:paraId="718831AA" w14:textId="77777777" w:rsidR="00EB65DE" w:rsidRPr="005E0509" w:rsidRDefault="00EB65DE" w:rsidP="00EB65DE">
      <w:pPr>
        <w:spacing w:line="240" w:lineRule="auto"/>
        <w:rPr>
          <w:rFonts w:cs="Times New Roman"/>
          <w:sz w:val="32"/>
          <w:szCs w:val="32"/>
          <w:lang w:val="es-MX"/>
        </w:rPr>
      </w:pPr>
      <w:r w:rsidRPr="005E0509">
        <w:rPr>
          <w:rFonts w:cs="Times New Roman"/>
          <w:sz w:val="32"/>
          <w:szCs w:val="32"/>
          <w:lang w:val="es-MX"/>
        </w:rPr>
        <w:t xml:space="preserve">                                 </w:t>
      </w:r>
      <w:r w:rsidRPr="005E0509">
        <w:rPr>
          <w:rFonts w:cs="Times New Roman"/>
          <w:sz w:val="32"/>
          <w:szCs w:val="32"/>
          <w:lang w:val="es-MX"/>
        </w:rPr>
        <w:tab/>
        <w:t>RECIENTO DE LLORENTE</w:t>
      </w:r>
    </w:p>
    <w:p w14:paraId="10E642FE" w14:textId="77777777" w:rsidR="00EB65DE" w:rsidRPr="005E0509" w:rsidRDefault="00EB65DE" w:rsidP="00EB65DE">
      <w:pPr>
        <w:spacing w:line="240" w:lineRule="auto"/>
        <w:jc w:val="center"/>
        <w:rPr>
          <w:rFonts w:eastAsia="Times New Roman" w:cs="Times New Roman"/>
          <w:lang w:val="es-MX" w:eastAsia="es-CR"/>
        </w:rPr>
      </w:pPr>
    </w:p>
    <w:p w14:paraId="6CA4C40A" w14:textId="77777777" w:rsidR="00EB65DE" w:rsidRPr="005E0509" w:rsidRDefault="00EB65DE" w:rsidP="00EB65DE">
      <w:pPr>
        <w:jc w:val="center"/>
        <w:rPr>
          <w:rFonts w:cs="Times New Roman"/>
          <w:sz w:val="32"/>
          <w:szCs w:val="32"/>
          <w:lang w:val="es-MX"/>
        </w:rPr>
      </w:pPr>
      <w:r>
        <w:rPr>
          <w:rFonts w:cs="Times New Roman"/>
          <w:sz w:val="32"/>
          <w:szCs w:val="32"/>
          <w:lang w:val="es-MX"/>
        </w:rPr>
        <w:t>TECNICAS DE FORMULACION DE PROYECTOS</w:t>
      </w:r>
    </w:p>
    <w:p w14:paraId="0801B590" w14:textId="77777777" w:rsidR="00EB65DE" w:rsidRDefault="00EB65DE" w:rsidP="00EB65DE">
      <w:pPr>
        <w:jc w:val="center"/>
        <w:rPr>
          <w:rFonts w:cs="Times New Roman"/>
          <w:sz w:val="32"/>
          <w:szCs w:val="32"/>
        </w:rPr>
      </w:pPr>
      <w:r>
        <w:rPr>
          <w:noProof/>
        </w:rPr>
        <mc:AlternateContent>
          <mc:Choice Requires="wps">
            <w:drawing>
              <wp:inline distT="0" distB="0" distL="0" distR="0" wp14:anchorId="5F3560CA" wp14:editId="1DCF2091">
                <wp:extent cx="4105275" cy="1676400"/>
                <wp:effectExtent l="0" t="0" r="28575" b="19050"/>
                <wp:docPr id="1332438433" name="Rectángulo 13324384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5275" cy="1676400"/>
                        </a:xfrm>
                        <a:prstGeom prst="rect">
                          <a:avLst/>
                        </a:prstGeom>
                        <a:solidFill>
                          <a:srgbClr val="00B0F0"/>
                        </a:solidFill>
                        <a:ln w="9525">
                          <a:solidFill>
                            <a:schemeClr val="tx1">
                              <a:lumMod val="100000"/>
                              <a:lumOff val="0"/>
                            </a:schemeClr>
                          </a:solidFill>
                          <a:miter lim="800000"/>
                          <a:headEnd/>
                          <a:tailEnd/>
                        </a:ln>
                      </wps:spPr>
                      <wps:txbx>
                        <w:txbxContent>
                          <w:p w14:paraId="02529670" w14:textId="77777777" w:rsidR="00EB65DE" w:rsidRDefault="00EB65DE" w:rsidP="00EB65DE">
                            <w:pPr>
                              <w:spacing w:line="252" w:lineRule="auto"/>
                              <w:jc w:val="center"/>
                              <w:rPr>
                                <w:rFonts w:cs="Times New Roman"/>
                                <w:sz w:val="36"/>
                                <w:szCs w:val="36"/>
                              </w:rPr>
                            </w:pPr>
                          </w:p>
                          <w:p w14:paraId="2A61D383" w14:textId="77777777" w:rsidR="00EB65DE" w:rsidRDefault="00EB65DE" w:rsidP="00EB65DE">
                            <w:pPr>
                              <w:spacing w:line="252" w:lineRule="auto"/>
                              <w:jc w:val="center"/>
                              <w:rPr>
                                <w:rFonts w:eastAsia="Times New Roman"/>
                                <w:b/>
                                <w:sz w:val="32"/>
                                <w:szCs w:val="32"/>
                                <w:lang w:val="es-MX"/>
                              </w:rPr>
                            </w:pPr>
                            <w:r>
                              <w:rPr>
                                <w:rFonts w:eastAsia="Times New Roman"/>
                                <w:b/>
                                <w:sz w:val="32"/>
                                <w:szCs w:val="32"/>
                                <w:lang w:val="es-MX"/>
                              </w:rPr>
                              <w:t xml:space="preserve">Proyecto </w:t>
                            </w:r>
                          </w:p>
                          <w:p w14:paraId="0B206702" w14:textId="61E8FB8A" w:rsidR="00EB65DE" w:rsidRPr="005E0509" w:rsidRDefault="00EB65DE" w:rsidP="00EB65DE">
                            <w:pPr>
                              <w:spacing w:line="252" w:lineRule="auto"/>
                              <w:jc w:val="center"/>
                              <w:rPr>
                                <w:rFonts w:cs="Times New Roman"/>
                                <w:sz w:val="36"/>
                                <w:szCs w:val="36"/>
                                <w:lang w:val="es-MX"/>
                              </w:rPr>
                            </w:pPr>
                            <w:r>
                              <w:rPr>
                                <w:rFonts w:eastAsia="Times New Roman"/>
                                <w:b/>
                                <w:sz w:val="32"/>
                                <w:szCs w:val="32"/>
                                <w:lang w:val="es-MX"/>
                              </w:rPr>
                              <w:t>Entregables Primera entrega</w:t>
                            </w:r>
                            <w:r>
                              <w:rPr>
                                <w:rFonts w:eastAsia="Times New Roman"/>
                                <w:b/>
                                <w:sz w:val="32"/>
                                <w:szCs w:val="32"/>
                                <w:lang w:val="es-MX"/>
                              </w:rPr>
                              <w:t xml:space="preserve"> </w:t>
                            </w:r>
                          </w:p>
                        </w:txbxContent>
                      </wps:txbx>
                      <wps:bodyPr rot="0" vert="horz" wrap="square" lIns="91440" tIns="45720" rIns="91440" bIns="45720" anchor="t" anchorCtr="0" upright="1">
                        <a:noAutofit/>
                      </wps:bodyPr>
                    </wps:wsp>
                  </a:graphicData>
                </a:graphic>
              </wp:inline>
            </w:drawing>
          </mc:Choice>
          <mc:Fallback>
            <w:pict>
              <v:rect w14:anchorId="5F3560CA" id="Rectángulo 1332438433" o:spid="_x0000_s1026" style="width:323.25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thUMAIAAFkEAAAOAAAAZHJzL2Uyb0RvYy54bWysVNuO0zAQfUfiHyy/0yRVL7tR09XSpQhp&#10;WZAWPsBxnMbC9hjbbVK+nrHTdrvwhsiD5fGMj2fOnMnqbtCKHITzEkxFi0lOiTAcGml2Ff3+bfvu&#10;hhIfmGmYAiMqehSe3q3fvln1thRT6EA1whEEMb7sbUW7EGyZZZ53QjM/ASsMOltwmgU03S5rHOsR&#10;XatsmueLrAfXWAdceI+nD6OTrhN+2woevrStF4GoimJuIa0urXVcs/WKlTvHbCf5KQ32D1loJg0+&#10;eoF6YIGRvZN/QWnJHXhow4SDzqBtJRepBqymyP+o5rljVqRakBxvLzT5/wfLnw7P9quLqXv7CPyH&#10;JwY2HTM7ce8c9J1gDT5XRKKy3vryciEaHq+Suv8MDbaW7QMkDobW6QiI1ZEhUX28UC2GQDgezop8&#10;Pl3OKeHoKxbLxSxPzchYeb5unQ8fBWgSNxV12MsEzw6PPsR0WHkOSemDks1WKpUMt6s3ypEDi33P&#10;3+fbM7q/DlOG9BW9nU/nCfmVL0lQXEDCUKQYtddY7ghc5PEbNYTnqLTTg4ktZDSqOEKkZF+haxlQ&#10;90rqit5coUS6P5gmqTIwqcY9VqrMif9IeVS3L8NQDxgYtzU0R+yEg1HfOI+46cD9oqRHbVfU/9wz&#10;JyhRnwx287aYzeIwJGM2X07RcNee+trDDEeoigZKxu0mjAO0t07uOnxpZMbAPSqglak3L1md8kb9&#10;JhZOsxYH5NpOUS9/hPVvAAAA//8DAFBLAwQUAAYACAAAACEA630NfdwAAAAFAQAADwAAAGRycy9k&#10;b3ducmV2LnhtbEyPwU7DMBBE70j8g7VI3KhDVSIU4lQVEnCglwYE1228JAF7bcVOm+brMVzgstJo&#10;RjNvy/VkjTjQEHrHCq4XGQjixumeWwWvLw9XtyBCRNZoHJOCEwVYV+dnJRbaHXlHhzq2IpVwKFBB&#10;F6MvpAxNRxbDwnni5H24wWJMcmilHvCYyq2RyyzLpcWe00KHnu47ar7q0Srwz+PWnAy+bf1mnnfv&#10;T5+PtZuVuryYNncgIk3xLww/+AkdqsS0dyPrIIyC9Ej8vcnLV/kNiL2CZb7KQFal/E9ffQMAAP//&#10;AwBQSwECLQAUAAYACAAAACEAtoM4kv4AAADhAQAAEwAAAAAAAAAAAAAAAAAAAAAAW0NvbnRlbnRf&#10;VHlwZXNdLnhtbFBLAQItABQABgAIAAAAIQA4/SH/1gAAAJQBAAALAAAAAAAAAAAAAAAAAC8BAABf&#10;cmVscy8ucmVsc1BLAQItABQABgAIAAAAIQADgthUMAIAAFkEAAAOAAAAAAAAAAAAAAAAAC4CAABk&#10;cnMvZTJvRG9jLnhtbFBLAQItABQABgAIAAAAIQDrfQ193AAAAAUBAAAPAAAAAAAAAAAAAAAAAIoE&#10;AABkcnMvZG93bnJldi54bWxQSwUGAAAAAAQABADzAAAAkwUAAAAA&#10;" fillcolor="#00b0f0" strokecolor="black [3213]">
                <v:textbox>
                  <w:txbxContent>
                    <w:p w14:paraId="02529670" w14:textId="77777777" w:rsidR="00EB65DE" w:rsidRDefault="00EB65DE" w:rsidP="00EB65DE">
                      <w:pPr>
                        <w:spacing w:line="252" w:lineRule="auto"/>
                        <w:jc w:val="center"/>
                        <w:rPr>
                          <w:rFonts w:cs="Times New Roman"/>
                          <w:sz w:val="36"/>
                          <w:szCs w:val="36"/>
                        </w:rPr>
                      </w:pPr>
                    </w:p>
                    <w:p w14:paraId="2A61D383" w14:textId="77777777" w:rsidR="00EB65DE" w:rsidRDefault="00EB65DE" w:rsidP="00EB65DE">
                      <w:pPr>
                        <w:spacing w:line="252" w:lineRule="auto"/>
                        <w:jc w:val="center"/>
                        <w:rPr>
                          <w:rFonts w:eastAsia="Times New Roman"/>
                          <w:b/>
                          <w:sz w:val="32"/>
                          <w:szCs w:val="32"/>
                          <w:lang w:val="es-MX"/>
                        </w:rPr>
                      </w:pPr>
                      <w:r>
                        <w:rPr>
                          <w:rFonts w:eastAsia="Times New Roman"/>
                          <w:b/>
                          <w:sz w:val="32"/>
                          <w:szCs w:val="32"/>
                          <w:lang w:val="es-MX"/>
                        </w:rPr>
                        <w:t xml:space="preserve">Proyecto </w:t>
                      </w:r>
                    </w:p>
                    <w:p w14:paraId="0B206702" w14:textId="61E8FB8A" w:rsidR="00EB65DE" w:rsidRPr="005E0509" w:rsidRDefault="00EB65DE" w:rsidP="00EB65DE">
                      <w:pPr>
                        <w:spacing w:line="252" w:lineRule="auto"/>
                        <w:jc w:val="center"/>
                        <w:rPr>
                          <w:rFonts w:cs="Times New Roman"/>
                          <w:sz w:val="36"/>
                          <w:szCs w:val="36"/>
                          <w:lang w:val="es-MX"/>
                        </w:rPr>
                      </w:pPr>
                      <w:r>
                        <w:rPr>
                          <w:rFonts w:eastAsia="Times New Roman"/>
                          <w:b/>
                          <w:sz w:val="32"/>
                          <w:szCs w:val="32"/>
                          <w:lang w:val="es-MX"/>
                        </w:rPr>
                        <w:t>Entregables Primera entrega</w:t>
                      </w:r>
                      <w:r>
                        <w:rPr>
                          <w:rFonts w:eastAsia="Times New Roman"/>
                          <w:b/>
                          <w:sz w:val="32"/>
                          <w:szCs w:val="32"/>
                          <w:lang w:val="es-MX"/>
                        </w:rPr>
                        <w:t xml:space="preserve"> </w:t>
                      </w:r>
                    </w:p>
                  </w:txbxContent>
                </v:textbox>
                <w10:anchorlock/>
              </v:rect>
            </w:pict>
          </mc:Fallback>
        </mc:AlternateContent>
      </w:r>
    </w:p>
    <w:p w14:paraId="449F0797" w14:textId="77777777" w:rsidR="00EB65DE" w:rsidRDefault="00EB65DE" w:rsidP="00EB65DE">
      <w:pPr>
        <w:tabs>
          <w:tab w:val="left" w:pos="3555"/>
        </w:tabs>
        <w:jc w:val="center"/>
        <w:rPr>
          <w:rFonts w:cs="Times New Roman"/>
          <w:sz w:val="32"/>
          <w:szCs w:val="32"/>
          <w:lang w:val="es-MX"/>
        </w:rPr>
      </w:pPr>
    </w:p>
    <w:p w14:paraId="23F30120" w14:textId="77777777" w:rsidR="00EB65DE" w:rsidRDefault="00EB65DE" w:rsidP="00EB65DE">
      <w:pPr>
        <w:tabs>
          <w:tab w:val="left" w:pos="3555"/>
        </w:tabs>
        <w:jc w:val="center"/>
        <w:rPr>
          <w:rFonts w:cs="Times New Roman"/>
          <w:sz w:val="32"/>
          <w:szCs w:val="32"/>
          <w:lang w:val="es-MX"/>
        </w:rPr>
      </w:pPr>
      <w:r w:rsidRPr="005E0509">
        <w:rPr>
          <w:rFonts w:cs="Times New Roman"/>
          <w:sz w:val="32"/>
          <w:szCs w:val="32"/>
          <w:lang w:val="es-MX"/>
        </w:rPr>
        <w:t>PROFESOR</w:t>
      </w:r>
    </w:p>
    <w:p w14:paraId="3C7EF73A" w14:textId="77777777" w:rsidR="00EB65DE" w:rsidRPr="00AD146F" w:rsidRDefault="00EB65DE" w:rsidP="00EB65DE">
      <w:pPr>
        <w:tabs>
          <w:tab w:val="left" w:pos="3555"/>
        </w:tabs>
        <w:jc w:val="center"/>
        <w:rPr>
          <w:rFonts w:cs="Times New Roman"/>
          <w:sz w:val="32"/>
          <w:szCs w:val="32"/>
          <w:lang w:val="es-MX"/>
        </w:rPr>
      </w:pPr>
      <w:r w:rsidRPr="00AD146F">
        <w:rPr>
          <w:rFonts w:cs="Times New Roman"/>
          <w:sz w:val="32"/>
          <w:szCs w:val="32"/>
          <w:lang w:val="es-MX"/>
        </w:rPr>
        <w:t>VARGAS VILLALOBOS RANDALL ANDRES</w:t>
      </w:r>
    </w:p>
    <w:p w14:paraId="6DDF344C" w14:textId="77777777" w:rsidR="00EB65DE" w:rsidRPr="005E0509" w:rsidRDefault="00EB65DE" w:rsidP="00EB65DE">
      <w:pPr>
        <w:tabs>
          <w:tab w:val="left" w:pos="3555"/>
        </w:tabs>
        <w:rPr>
          <w:rFonts w:cs="Times New Roman"/>
          <w:sz w:val="32"/>
          <w:szCs w:val="32"/>
          <w:lang w:val="es-MX"/>
        </w:rPr>
      </w:pPr>
    </w:p>
    <w:p w14:paraId="26E64BB6" w14:textId="77777777" w:rsidR="00EB65DE" w:rsidRPr="005E0509" w:rsidRDefault="00EB65DE" w:rsidP="00EB65DE">
      <w:pPr>
        <w:tabs>
          <w:tab w:val="left" w:pos="3555"/>
        </w:tabs>
        <w:jc w:val="center"/>
        <w:rPr>
          <w:rFonts w:cs="Times New Roman"/>
          <w:sz w:val="32"/>
          <w:szCs w:val="32"/>
          <w:lang w:val="es-MX"/>
        </w:rPr>
      </w:pPr>
      <w:r w:rsidRPr="005E0509">
        <w:rPr>
          <w:rFonts w:cs="Times New Roman"/>
          <w:sz w:val="32"/>
          <w:szCs w:val="32"/>
          <w:lang w:val="es-MX"/>
        </w:rPr>
        <w:t>ESTUDIANTE</w:t>
      </w:r>
    </w:p>
    <w:p w14:paraId="6BF34195" w14:textId="77777777" w:rsidR="00EB65DE" w:rsidRDefault="00EB65DE" w:rsidP="00EB65DE">
      <w:pPr>
        <w:tabs>
          <w:tab w:val="left" w:pos="3555"/>
        </w:tabs>
        <w:jc w:val="center"/>
        <w:rPr>
          <w:rFonts w:cs="Times New Roman"/>
          <w:sz w:val="32"/>
          <w:szCs w:val="32"/>
          <w:lang w:val="es-MX"/>
        </w:rPr>
      </w:pPr>
      <w:r>
        <w:rPr>
          <w:rFonts w:cs="Times New Roman"/>
          <w:sz w:val="32"/>
          <w:szCs w:val="32"/>
          <w:lang w:val="es-MX"/>
        </w:rPr>
        <w:t>ROBERTO BENAVENTE JIMENEZ</w:t>
      </w:r>
    </w:p>
    <w:p w14:paraId="5357FC56" w14:textId="7BAA7214" w:rsidR="00EB65DE" w:rsidRDefault="00EB65DE" w:rsidP="00EB65DE">
      <w:pPr>
        <w:tabs>
          <w:tab w:val="left" w:pos="3555"/>
        </w:tabs>
        <w:jc w:val="center"/>
        <w:rPr>
          <w:rFonts w:cs="Times New Roman"/>
          <w:sz w:val="32"/>
          <w:szCs w:val="32"/>
          <w:lang w:val="es-MX"/>
        </w:rPr>
      </w:pPr>
      <w:r>
        <w:rPr>
          <w:rFonts w:cs="Times New Roman"/>
          <w:sz w:val="32"/>
          <w:szCs w:val="32"/>
          <w:lang w:val="es-MX"/>
        </w:rPr>
        <w:t>CARLOS FABIAN GUTIERREZ BARRIOS</w:t>
      </w:r>
    </w:p>
    <w:p w14:paraId="4B0B4642" w14:textId="74DEA13F" w:rsidR="00EB65DE" w:rsidRDefault="00EB65DE" w:rsidP="00EB65DE">
      <w:pPr>
        <w:tabs>
          <w:tab w:val="left" w:pos="3555"/>
        </w:tabs>
        <w:jc w:val="center"/>
        <w:rPr>
          <w:rFonts w:cs="Times New Roman"/>
          <w:sz w:val="32"/>
          <w:szCs w:val="32"/>
          <w:lang w:val="es-MX"/>
        </w:rPr>
      </w:pPr>
      <w:r>
        <w:rPr>
          <w:rFonts w:cs="Times New Roman"/>
          <w:sz w:val="32"/>
          <w:szCs w:val="32"/>
          <w:lang w:val="es-MX"/>
        </w:rPr>
        <w:t xml:space="preserve">ALEX ROBLERO </w:t>
      </w:r>
    </w:p>
    <w:p w14:paraId="6E27E15E" w14:textId="77777777" w:rsidR="00EB65DE" w:rsidRPr="005E0509" w:rsidRDefault="00EB65DE" w:rsidP="00EB65DE">
      <w:pPr>
        <w:tabs>
          <w:tab w:val="left" w:pos="3555"/>
        </w:tabs>
        <w:rPr>
          <w:rFonts w:cs="Times New Roman"/>
          <w:sz w:val="32"/>
          <w:szCs w:val="32"/>
          <w:lang w:val="es-MX"/>
        </w:rPr>
      </w:pPr>
    </w:p>
    <w:p w14:paraId="0AFDD740" w14:textId="721F939D" w:rsidR="00EB65DE" w:rsidRDefault="00EB65DE" w:rsidP="00EB65DE">
      <w:pPr>
        <w:tabs>
          <w:tab w:val="left" w:pos="3555"/>
        </w:tabs>
        <w:jc w:val="center"/>
        <w:rPr>
          <w:rFonts w:cs="Times New Roman"/>
          <w:sz w:val="32"/>
          <w:szCs w:val="32"/>
          <w:lang w:val="es-MX"/>
        </w:rPr>
      </w:pPr>
      <w:r w:rsidRPr="005E0509">
        <w:rPr>
          <w:rFonts w:cs="Times New Roman"/>
          <w:sz w:val="32"/>
          <w:szCs w:val="32"/>
          <w:lang w:val="es-MX"/>
        </w:rPr>
        <w:t xml:space="preserve">COSTA RICA </w:t>
      </w:r>
      <w:r>
        <w:rPr>
          <w:rFonts w:cs="Times New Roman"/>
          <w:sz w:val="32"/>
          <w:szCs w:val="32"/>
          <w:lang w:val="es-MX"/>
        </w:rPr>
        <w:t xml:space="preserve">16 </w:t>
      </w:r>
      <w:r w:rsidRPr="005E0509">
        <w:rPr>
          <w:rFonts w:cs="Times New Roman"/>
          <w:sz w:val="32"/>
          <w:szCs w:val="32"/>
          <w:lang w:val="es-MX"/>
        </w:rPr>
        <w:t>DE</w:t>
      </w:r>
      <w:r>
        <w:rPr>
          <w:rFonts w:cs="Times New Roman"/>
          <w:sz w:val="32"/>
          <w:szCs w:val="32"/>
          <w:lang w:val="es-MX"/>
        </w:rPr>
        <w:t xml:space="preserve"> JUNIO</w:t>
      </w:r>
      <w:r>
        <w:rPr>
          <w:rFonts w:cs="Times New Roman"/>
          <w:sz w:val="32"/>
          <w:szCs w:val="32"/>
          <w:lang w:val="es-MX"/>
        </w:rPr>
        <w:t xml:space="preserve"> </w:t>
      </w:r>
      <w:r w:rsidRPr="005E0509">
        <w:rPr>
          <w:rFonts w:cs="Times New Roman"/>
          <w:sz w:val="32"/>
          <w:szCs w:val="32"/>
          <w:lang w:val="es-MX"/>
        </w:rPr>
        <w:t>202</w:t>
      </w:r>
      <w:r>
        <w:rPr>
          <w:rFonts w:cs="Times New Roman"/>
          <w:sz w:val="32"/>
          <w:szCs w:val="32"/>
          <w:lang w:val="es-MX"/>
        </w:rPr>
        <w:t>6</w:t>
      </w:r>
    </w:p>
    <w:p w14:paraId="1FC27A89" w14:textId="77777777" w:rsidR="00EB65DE" w:rsidRDefault="00EB65DE">
      <w:pPr>
        <w:spacing w:after="240"/>
        <w:jc w:val="center"/>
        <w:rPr>
          <w:b/>
          <w:lang w:val="es-MX"/>
        </w:rPr>
      </w:pPr>
    </w:p>
    <w:p w14:paraId="6E414078" w14:textId="77777777" w:rsidR="00EB65DE" w:rsidRDefault="00EB65DE">
      <w:pPr>
        <w:spacing w:after="240"/>
        <w:jc w:val="center"/>
        <w:rPr>
          <w:b/>
          <w:lang w:val="es-MX"/>
        </w:rPr>
      </w:pPr>
    </w:p>
    <w:p w14:paraId="0C916522" w14:textId="77777777" w:rsidR="00EB65DE" w:rsidRDefault="00EB65DE">
      <w:pPr>
        <w:spacing w:after="240"/>
        <w:jc w:val="center"/>
        <w:rPr>
          <w:b/>
          <w:lang w:val="es-MX"/>
        </w:rPr>
      </w:pPr>
    </w:p>
    <w:p w14:paraId="24D50A52" w14:textId="77777777" w:rsidR="00EB65DE" w:rsidRDefault="00EB65DE">
      <w:pPr>
        <w:spacing w:after="240"/>
        <w:jc w:val="center"/>
        <w:rPr>
          <w:b/>
          <w:lang w:val="es-MX"/>
        </w:rPr>
      </w:pPr>
    </w:p>
    <w:p w14:paraId="543FCFC7" w14:textId="77777777" w:rsidR="00EB65DE" w:rsidRDefault="00EB65DE">
      <w:pPr>
        <w:spacing w:after="240"/>
        <w:jc w:val="center"/>
        <w:rPr>
          <w:b/>
          <w:lang w:val="es-MX"/>
        </w:rPr>
      </w:pPr>
    </w:p>
    <w:p w14:paraId="024EC9CB" w14:textId="77777777" w:rsidR="00EB65DE" w:rsidRDefault="00EB65DE">
      <w:pPr>
        <w:spacing w:after="240"/>
        <w:jc w:val="center"/>
        <w:rPr>
          <w:b/>
          <w:lang w:val="es-MX"/>
        </w:rPr>
      </w:pPr>
    </w:p>
    <w:p w14:paraId="07CD598D" w14:textId="2F12E102" w:rsidR="0045072E" w:rsidRPr="00EB65DE" w:rsidRDefault="00000000">
      <w:pPr>
        <w:spacing w:after="240"/>
        <w:jc w:val="center"/>
        <w:rPr>
          <w:lang w:val="es-MX"/>
        </w:rPr>
      </w:pPr>
      <w:r w:rsidRPr="00EB65DE">
        <w:rPr>
          <w:b/>
          <w:lang w:val="es-MX"/>
        </w:rPr>
        <w:t>Índice</w:t>
      </w:r>
    </w:p>
    <w:p w14:paraId="6BF13CCE" w14:textId="291BDB72" w:rsidR="0045072E" w:rsidRPr="00EB65DE" w:rsidRDefault="00000000">
      <w:pPr>
        <w:rPr>
          <w:lang w:val="es-MX"/>
        </w:rPr>
      </w:pPr>
      <w:r>
        <w:fldChar w:fldCharType="begin"/>
      </w:r>
      <w:r w:rsidRPr="00EB65DE">
        <w:rPr>
          <w:lang w:val="es-MX"/>
        </w:rPr>
        <w:instrText>TOC \o "1-3" \h \z \u</w:instrText>
      </w:r>
      <w:r>
        <w:fldChar w:fldCharType="separate"/>
      </w:r>
      <w:r w:rsidRPr="00EB65DE">
        <w:rPr>
          <w:i/>
          <w:color w:val="808080"/>
          <w:lang w:val="es-MX"/>
        </w:rPr>
        <w:t>[Actualice el índice con clic derecho &gt; Actual]</w:t>
      </w:r>
      <w:r>
        <w:fldChar w:fldCharType="end"/>
      </w:r>
    </w:p>
    <w:p w14:paraId="20B688B9" w14:textId="77777777" w:rsidR="0045072E" w:rsidRPr="00EB65DE" w:rsidRDefault="00000000">
      <w:pPr>
        <w:rPr>
          <w:lang w:val="es-MX"/>
        </w:rPr>
      </w:pPr>
      <w:r w:rsidRPr="00EB65DE">
        <w:rPr>
          <w:lang w:val="es-MX"/>
        </w:rPr>
        <w:br w:type="page"/>
      </w:r>
    </w:p>
    <w:p w14:paraId="15A7EB9D" w14:textId="77777777" w:rsidR="0045072E" w:rsidRPr="00EB65DE" w:rsidRDefault="00000000">
      <w:pPr>
        <w:pStyle w:val="Ttulo1"/>
        <w:rPr>
          <w:szCs w:val="24"/>
          <w:sz w:val="24"/>
          <w:rFonts w:ascii="Times New Roman" w:hAnsi="Times New Roman" w:cs="Times New Roman"/>
          <w:lang w:val="es-MX"/>
        </w:rPr>
      </w:pPr>
      <w:r w:rsidRPr="00EB65DE">
        <w:rPr>
          <w:szCs w:val="24"/>
          <w:sz w:val="24"/>
          <w:rFonts w:ascii="Times New Roman" w:hAnsi="Times New Roman"/>
          <w:lang w:val="es-MX"/>
        </w:rPr>
        <w:lastRenderedPageBreak/>
        <w:t>Entregable 1: Alineamiento Estratégico, Análisis Externo e Interno</w:t>
      </w:r>
    </w:p>
    <w:p w14:paraId="6606A7AC"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Descripción de la Empresa</w:t>
      </w:r>
    </w:p>
    <w:p w14:paraId="285B4FD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The Coca-Cola Company es una corporación multinacional estadounidense fundada en 1892, con sede en Atlanta, Georgia. Es la compañía de bebidas no alcohólicas más grande del mundo, con presencia en más de 200 países y un portafolio de más de 500 marcas. Sus productos incluyen refrescos carbonatados, aguas, jugos, tés, cafés y bebidas deportivas. En 2024, la empresa reportó ingresos por $47,060 millones de dólares, demostrando su solidez financiera y liderazgo global en la industria de bebidas (The Coca-Cola Company, 2025).</w:t>
      </w:r>
    </w:p>
    <w:p w14:paraId="5211F910"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Misión Actual</w:t>
      </w:r>
    </w:p>
    <w:p w14:paraId="168CC97C"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La misión de The Coca-Cola Company es: 'Refrescar al mundo. Inspirar momentos de optimismo y felicidad. Crear valor y marcar la diferencia' (The Coca-Cola Company, s.f.; Pestel-analysis.com, 2025).</w:t>
      </w:r>
    </w:p>
    <w:p w14:paraId="321A5863"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Alineamiento con la Misión</w:t>
      </w:r>
    </w:p>
    <w:p w14:paraId="37BDAC9A"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Coca-Cola alinea sus operaciones con su misión a través de: (a) innovación constante en su portafolio de productos, lanzando más de 50 nuevos productos en 2024; (b) campañas de marketing emocional como 'Open Happiness' y 'Comparte una Coca-Cola'; (c) iniciativas de responsabilidad social corporativa como 'World </w:t>
      </w:r>
      <w:proofErr w:type="spellStart"/>
      <w:r w:rsidRPr="00EB65DE">
        <w:rPr>
          <w:rFonts w:ascii="Times New Roman" w:hAnsi="Times New Roman" w:cs="Times New Roman"/>
          <w:sz w:val="24"/>
          <w:szCs w:val="24"/>
          <w:lang w:val="es-MX"/>
        </w:rPr>
        <w:t>Without</w:t>
      </w:r>
      <w:proofErr w:type="spellEnd"/>
      <w:r w:rsidRPr="00EB65DE">
        <w:rPr>
          <w:rFonts w:ascii="Times New Roman" w:hAnsi="Times New Roman" w:cs="Times New Roman"/>
          <w:sz w:val="24"/>
          <w:szCs w:val="24"/>
          <w:lang w:val="es-MX"/>
        </w:rPr>
        <w:t xml:space="preserve"> Waste' y programas de empoderamiento comunitario.</w:t>
      </w:r>
    </w:p>
    <w:p w14:paraId="0293533C"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Propuesta de Mejora</w:t>
      </w:r>
    </w:p>
    <w:p w14:paraId="68ECDC9E"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Se propone: 'Refrescar al mundo de manera sostenible. Inspirar momentos de optimismo y bienestar. Crear valor compartido y marcar la diferencia positiva en el planeta y las personas.'</w:t>
      </w:r>
    </w:p>
    <w:p w14:paraId="61D87F9A"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Visión Actual</w:t>
      </w:r>
    </w:p>
    <w:p w14:paraId="49A41E7F"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La visión de Coca-Cola es: 'Crear las marcas y la selección de bebidas que la gente ama y quiere, para refrescarlos en cuerpo y espíritu. Ser una empresa total de bebidas, inspirada por nuestro propósito, que impulsa el crecimiento sostenible y la creación de valor' (The Coca-Cola Company, s.f.; </w:t>
      </w:r>
      <w:proofErr w:type="spellStart"/>
      <w:r w:rsidRPr="00EB65DE">
        <w:rPr>
          <w:rFonts w:ascii="Times New Roman" w:hAnsi="Times New Roman" w:cs="Times New Roman"/>
          <w:sz w:val="24"/>
          <w:szCs w:val="24"/>
          <w:lang w:val="es-MX"/>
        </w:rPr>
        <w:t>Panmore</w:t>
      </w:r>
      <w:proofErr w:type="spellEnd"/>
      <w:r w:rsidRPr="00EB65DE">
        <w:rPr>
          <w:rFonts w:ascii="Times New Roman" w:hAnsi="Times New Roman" w:cs="Times New Roman"/>
          <w:sz w:val="24"/>
          <w:szCs w:val="24"/>
          <w:lang w:val="es-MX"/>
        </w:rPr>
        <w:t xml:space="preserve"> </w:t>
      </w:r>
      <w:proofErr w:type="spellStart"/>
      <w:r w:rsidRPr="00EB65DE">
        <w:rPr>
          <w:rFonts w:ascii="Times New Roman" w:hAnsi="Times New Roman" w:cs="Times New Roman"/>
          <w:sz w:val="24"/>
          <w:szCs w:val="24"/>
          <w:lang w:val="es-MX"/>
        </w:rPr>
        <w:t>Institute</w:t>
      </w:r>
      <w:proofErr w:type="spellEnd"/>
      <w:r w:rsidRPr="00EB65DE">
        <w:rPr>
          <w:rFonts w:ascii="Times New Roman" w:hAnsi="Times New Roman" w:cs="Times New Roman"/>
          <w:sz w:val="24"/>
          <w:szCs w:val="24"/>
          <w:lang w:val="es-MX"/>
        </w:rPr>
        <w:t>, 2024).</w:t>
      </w:r>
    </w:p>
    <w:p w14:paraId="3832C907"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Alineamiento con la Visión</w:t>
      </w:r>
    </w:p>
    <w:p w14:paraId="0F56D1AF"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La empresa alinea sus estrategias mediante: (a) expansión y diversificación hacia bebidas saludables; (b) inversión en tecnología e innovación digital; (c) compromiso con el crecimiento sostenible (envases 100% reciclables para 2025, reducción de huella de carbono en 25% para 2030).</w:t>
      </w:r>
    </w:p>
    <w:p w14:paraId="10B6ECA3"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lastRenderedPageBreak/>
        <w:t>Propuesta de Mejora</w:t>
      </w:r>
    </w:p>
    <w:p w14:paraId="54A0D65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Se recomienda: 'Ser la empresa líder mundial de bebidas, impulsada por la innovación digital y la sostenibilidad circular, que transforma la industria hacia un futuro donde cada envase tiene una segunda vida y cada producto contribuye al bienestar de las personas y el planeta.'</w:t>
      </w:r>
    </w:p>
    <w:p w14:paraId="394AEEF7"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Análisis Externo (PESTEL)</w:t>
      </w:r>
    </w:p>
    <w:p w14:paraId="0ABE5825"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Factores políticos: Coca-Cola opera en más de 200 países, expuesta a cambios en regulaciones comerciales, aranceles e impuestos a bebidas azucaradas. En 2024, varios países de Europa y América Latina implementaron impuestos adicionales a bebidas con alto contenido de azúcar.</w:t>
      </w:r>
    </w:p>
    <w:p w14:paraId="434831D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Factores económicos: La empresa se ve afectada por fluctuaciones en tipos de cambio, inflación y poder adquisitivo. En 2024 reportó un crecimiento orgánico del 6% en el primer trimestre, demostrando resiliencia económica.</w:t>
      </w:r>
    </w:p>
    <w:p w14:paraId="43AC2FD6"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Factores sociales: Existe una tendencia global hacia estilos de vida más saludables. Las bebidas saludables ya representan más del 30% de los lanzamientos anuales de Coca-Cola.</w:t>
      </w:r>
    </w:p>
    <w:p w14:paraId="3FB409D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Factores tecnológicos: Coca-Cola invierte en IA, automatización, </w:t>
      </w:r>
      <w:proofErr w:type="spellStart"/>
      <w:r w:rsidRPr="00EB65DE">
        <w:rPr>
          <w:rFonts w:ascii="Times New Roman" w:hAnsi="Times New Roman" w:cs="Times New Roman"/>
          <w:sz w:val="24"/>
          <w:szCs w:val="24"/>
          <w:lang w:val="es-MX"/>
        </w:rPr>
        <w:t>blockchain</w:t>
      </w:r>
      <w:proofErr w:type="spellEnd"/>
      <w:r w:rsidRPr="00EB65DE">
        <w:rPr>
          <w:rFonts w:ascii="Times New Roman" w:hAnsi="Times New Roman" w:cs="Times New Roman"/>
          <w:sz w:val="24"/>
          <w:szCs w:val="24"/>
          <w:lang w:val="es-MX"/>
        </w:rPr>
        <w:t xml:space="preserve"> para trazabilidad y plataformas de comercio electrónico. En 2024 migró su infraestructura a Google Cloud.</w:t>
      </w:r>
    </w:p>
    <w:p w14:paraId="78E99866"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Factores ecológicos: La contaminación por plásticos es una de las mayores amenazas reputacionales. Break Free From </w:t>
      </w:r>
      <w:proofErr w:type="spellStart"/>
      <w:r w:rsidRPr="00EB65DE">
        <w:rPr>
          <w:rFonts w:ascii="Times New Roman" w:hAnsi="Times New Roman" w:cs="Times New Roman"/>
          <w:sz w:val="24"/>
          <w:szCs w:val="24"/>
          <w:lang w:val="es-MX"/>
        </w:rPr>
        <w:t>Plastic</w:t>
      </w:r>
      <w:proofErr w:type="spellEnd"/>
      <w:r w:rsidRPr="00EB65DE">
        <w:rPr>
          <w:rFonts w:ascii="Times New Roman" w:hAnsi="Times New Roman" w:cs="Times New Roman"/>
          <w:sz w:val="24"/>
          <w:szCs w:val="24"/>
          <w:lang w:val="es-MX"/>
        </w:rPr>
        <w:t xml:space="preserve"> (2024) nombró a Coca-Cola el mayor contaminador de plástico del planeta. La empresa se ha comprometido a recolectar y reciclar el equivalente al 100% de sus envases para 2030.</w:t>
      </w:r>
    </w:p>
    <w:p w14:paraId="34887C76"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Factores legales: Debe cumplir con regulaciones de seguridad alimentaria, etiquetado, publicidad, leyes antimonopolio y normativas laborales en cada país donde opera.</w:t>
      </w:r>
    </w:p>
    <w:p w14:paraId="731B9AFF"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Análisis Interno (FODA)</w:t>
      </w:r>
    </w:p>
    <w:p w14:paraId="05162A91"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Fortalezas</w:t>
      </w:r>
    </w:p>
    <w:p w14:paraId="3E6BAEF4"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 Marca global reconocida valorada en más de $60,000 millones; (b) portafolio diversificado de más de 500 marcas; (c) cadena de suministro y distribución más grande del mundo; (d) fórmula secreta como ventaja competitiva; (e) ingresos anuales superiores a $47,000 millones; (f) capacidad de innovación con más de 50 nuevos productos en 2024.</w:t>
      </w:r>
    </w:p>
    <w:p w14:paraId="44239BE9"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lastRenderedPageBreak/>
        <w:t>Debilidades</w:t>
      </w:r>
    </w:p>
    <w:p w14:paraId="2521083F"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 Dependencia de bebidas carbonatadas; (b) percepción negativa asociada a problemas de salud; (c) impacto ambiental por plásticos de un solo uso; (d) alta inversión en marketing incrementa costos; (e) deuda considerable derivada de adquisiciones.</w:t>
      </w:r>
    </w:p>
    <w:p w14:paraId="7F46211D"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Oportunidades</w:t>
      </w:r>
    </w:p>
    <w:p w14:paraId="407159A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 Demanda creciente de bebidas saludables; (b) expansión en mercados emergentes (África, Asia); (c) desarrollo de envases biodegradables; (d) alianzas estratégicas tecnológicas; (e) crecimiento del comercio electrónico.</w:t>
      </w:r>
    </w:p>
    <w:p w14:paraId="57887EAE"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Amenazas</w:t>
      </w:r>
    </w:p>
    <w:p w14:paraId="2A70C975"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 Competencia intensa de PepsiCo y marcas locales; (b) regulaciones restrictivas; (c) cambio en preferencias del consumidor; (d) activismo ambiental; (e) fluctuaciones económicas globales.</w:t>
      </w:r>
    </w:p>
    <w:p w14:paraId="43ED44BA" w14:textId="77777777" w:rsidR="0045072E" w:rsidRPr="00EB65DE" w:rsidRDefault="00000000">
      <w:pPr>
        <w:pStyle w:val="Ttulo1"/>
        <w:rPr>
          <w:szCs w:val="24"/>
          <w:sz w:val="24"/>
          <w:rFonts w:ascii="Times New Roman" w:hAnsi="Times New Roman" w:cs="Times New Roman"/>
          <w:lang w:val="es-MX"/>
        </w:rPr>
      </w:pPr>
      <w:r w:rsidRPr="00EB65DE">
        <w:rPr>
          <w:szCs w:val="24"/>
          <w:sz w:val="24"/>
          <w:rFonts w:ascii="Times New Roman" w:hAnsi="Times New Roman"/>
          <w:lang w:val="es-MX"/>
        </w:rPr>
        <w:t>Entregable 2: Objetivos Estratégicos, Necesidades de TI e Ideas de Proyecto</w:t>
      </w:r>
    </w:p>
    <w:p w14:paraId="00726865"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Objetivos Estratégicos y Metas</w:t>
      </w:r>
    </w:p>
    <w:p w14:paraId="401B8F7B"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OE1: Sostenibilidad Ambiental</w:t>
      </w:r>
    </w:p>
    <w:p w14:paraId="7C5C42A3"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Alcanzar envases 100% reciclables para 2030, reducir plástico virgen en 50% e incorporar 50% de material reciclado en todos los envases.</w:t>
      </w:r>
    </w:p>
    <w:p w14:paraId="7A757487"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OE2: Transformación Digital</w:t>
      </w:r>
    </w:p>
    <w:p w14:paraId="07044F11"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Implementar IA y análisis predictivo en el 80% de los procesos de cadena de suministro para 2027, y alcanzar 50 millones de interacciones digitales personalizadas al año.</w:t>
      </w:r>
    </w:p>
    <w:p w14:paraId="4B59E191"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OE3: Salud y Bienestar</w:t>
      </w:r>
    </w:p>
    <w:p w14:paraId="522F5FD3"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Que las bebidas bajas en azúcar, sin azúcar y funcionales representen el 50% de los ingresos totales para 2030.</w:t>
      </w:r>
    </w:p>
    <w:p w14:paraId="7E7C0DEC"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OE4: Crecimiento en Mercados Emergentes</w:t>
      </w:r>
    </w:p>
    <w:p w14:paraId="782F02A1"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Aumentar los ingresos de mercados emergentes en un 15% anual durante los próximos 5 años.</w:t>
      </w:r>
    </w:p>
    <w:p w14:paraId="3E84C9E8"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OE5: Excelencia Operativa</w:t>
      </w:r>
    </w:p>
    <w:p w14:paraId="0742A705"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Reducir los costos operativos en un 10% mediante eficiencias tecnológicas para 2027.</w:t>
      </w:r>
    </w:p>
    <w:p w14:paraId="230E2736"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lastRenderedPageBreak/>
        <w:t>Necesidades en el Área de TI</w:t>
      </w:r>
    </w:p>
    <w:p w14:paraId="71030587"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 xml:space="preserve">N1: Plataforma de Trazabilidad con </w:t>
      </w:r>
      <w:proofErr w:type="spellStart"/>
      <w:r w:rsidRPr="00EB65DE">
        <w:rPr>
          <w:szCs w:val="24"/>
          <w:sz w:val="24"/>
          <w:rFonts w:ascii="Times New Roman" w:hAnsi="Times New Roman"/>
          <w:lang w:val="es-MX"/>
        </w:rPr>
        <w:t>Blockchain</w:t>
      </w:r>
      <w:proofErr w:type="spellEnd"/>
    </w:p>
    <w:p w14:paraId="1BF7EDC1"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Sistema basado en </w:t>
      </w:r>
      <w:proofErr w:type="spellStart"/>
      <w:r w:rsidRPr="00EB65DE">
        <w:rPr>
          <w:rFonts w:ascii="Times New Roman" w:hAnsi="Times New Roman" w:cs="Times New Roman"/>
          <w:sz w:val="24"/>
          <w:szCs w:val="24"/>
          <w:lang w:val="es-MX"/>
        </w:rPr>
        <w:t>blockchain</w:t>
      </w:r>
      <w:proofErr w:type="spellEnd"/>
      <w:r w:rsidRPr="00EB65DE">
        <w:rPr>
          <w:rFonts w:ascii="Times New Roman" w:hAnsi="Times New Roman" w:cs="Times New Roman"/>
          <w:sz w:val="24"/>
          <w:szCs w:val="24"/>
          <w:lang w:val="es-MX"/>
        </w:rPr>
        <w:t xml:space="preserve"> que rastree cada envase desde producción hasta reciclaje, para cumplir los objetivos de economía circular ante presión regulatoria y reputacional.</w:t>
      </w:r>
    </w:p>
    <w:p w14:paraId="1168B333"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N2: Sistema de Ventas B2B con Automatización e IA</w:t>
      </w:r>
    </w:p>
    <w:p w14:paraId="78AF53D6"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Sistema que automatice la toma de pedidos y la gestión comercial con clientes del canal tradicional (tiendas, bares, restaurantes y pequeños supermercados) mediante recomendaciones de pedido generadas por IA, reduciendo quiebres de stock y aumentando la frecuencia y el tamaño de compra.</w:t>
      </w:r>
    </w:p>
    <w:p w14:paraId="79302E4D"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N3: Plataforma de Personalización Digital</w:t>
      </w:r>
    </w:p>
    <w:p w14:paraId="486D4006"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Plataforma </w:t>
      </w:r>
      <w:proofErr w:type="spellStart"/>
      <w:r w:rsidRPr="00EB65DE">
        <w:rPr>
          <w:rFonts w:ascii="Times New Roman" w:hAnsi="Times New Roman" w:cs="Times New Roman"/>
          <w:sz w:val="24"/>
          <w:szCs w:val="24"/>
          <w:lang w:val="es-MX"/>
        </w:rPr>
        <w:t>omnicanal</w:t>
      </w:r>
      <w:proofErr w:type="spellEnd"/>
      <w:r w:rsidRPr="00EB65DE">
        <w:rPr>
          <w:rFonts w:ascii="Times New Roman" w:hAnsi="Times New Roman" w:cs="Times New Roman"/>
          <w:sz w:val="24"/>
          <w:szCs w:val="24"/>
          <w:lang w:val="es-MX"/>
        </w:rPr>
        <w:t xml:space="preserve"> con IA para recomendaciones personalizadas a consumidores.</w:t>
      </w:r>
    </w:p>
    <w:p w14:paraId="223E105B"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N4: Sistema de Gestión ESG</w:t>
      </w:r>
    </w:p>
    <w:p w14:paraId="4206354C"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Sistema integral para medir, reportar y gestionar indicadores ambientales, sociales y de gobernanza.</w:t>
      </w:r>
    </w:p>
    <w:p w14:paraId="03376DF8"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N5: Infraestructura de Ciberseguridad Avanzada</w:t>
      </w:r>
    </w:p>
    <w:p w14:paraId="00826FE8"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Infraestructura con detección de amenazas mediante IA, confianza cero y protección de datos global.</w:t>
      </w:r>
    </w:p>
    <w:p w14:paraId="270BBC3A"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Ideas de Proyecto</w:t>
      </w:r>
    </w:p>
    <w:p w14:paraId="0840B63D"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Idea 1: Sistema de Ventas B2B con Automatización e Inteligencia Artificial</w:t>
      </w:r>
    </w:p>
    <w:p w14:paraId="359BF93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Sistema que use IA para automatizar la toma de pedidos y la recomendación de productos a clientes B2B (tiendas, bares, restaurantes) a través de un asistente conversacional, integrado con SAP y la fuerza de ventas. Beneficios: mayor frecuencia y tamaño de pedido, reducción de quiebres de stock, fuerza de ventas más eficiente. Costo: $6.4 millones. Duración: 12 meses.</w:t>
      </w:r>
    </w:p>
    <w:p w14:paraId="3BB3C9BF"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 xml:space="preserve">Idea 2: Plataforma Global de Trazabilidad Circular con </w:t>
      </w:r>
      <w:proofErr w:type="spellStart"/>
      <w:r w:rsidRPr="00EB65DE">
        <w:rPr>
          <w:szCs w:val="24"/>
          <w:sz w:val="24"/>
          <w:rFonts w:ascii="Times New Roman" w:hAnsi="Times New Roman"/>
          <w:lang w:val="es-MX"/>
        </w:rPr>
        <w:t>Blockchain</w:t>
      </w:r>
      <w:proofErr w:type="spellEnd"/>
    </w:p>
    <w:p w14:paraId="7B4F669F"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Desarrollo de plataforma </w:t>
      </w:r>
      <w:proofErr w:type="spellStart"/>
      <w:r w:rsidRPr="00EB65DE">
        <w:rPr>
          <w:rFonts w:ascii="Times New Roman" w:hAnsi="Times New Roman" w:cs="Times New Roman"/>
          <w:sz w:val="24"/>
          <w:szCs w:val="24"/>
          <w:lang w:val="es-MX"/>
        </w:rPr>
        <w:t>Hyperledger</w:t>
      </w:r>
      <w:proofErr w:type="spellEnd"/>
      <w:r w:rsidRPr="00EB65DE">
        <w:rPr>
          <w:rFonts w:ascii="Times New Roman" w:hAnsi="Times New Roman" w:cs="Times New Roman"/>
          <w:sz w:val="24"/>
          <w:szCs w:val="24"/>
          <w:lang w:val="es-MX"/>
        </w:rPr>
        <w:t xml:space="preserve"> </w:t>
      </w:r>
      <w:proofErr w:type="spellStart"/>
      <w:r w:rsidRPr="00EB65DE">
        <w:rPr>
          <w:rFonts w:ascii="Times New Roman" w:hAnsi="Times New Roman" w:cs="Times New Roman"/>
          <w:sz w:val="24"/>
          <w:szCs w:val="24"/>
          <w:lang w:val="es-MX"/>
        </w:rPr>
        <w:t>Fabric</w:t>
      </w:r>
      <w:proofErr w:type="spellEnd"/>
      <w:r w:rsidRPr="00EB65DE">
        <w:rPr>
          <w:rFonts w:ascii="Times New Roman" w:hAnsi="Times New Roman" w:cs="Times New Roman"/>
          <w:sz w:val="24"/>
          <w:szCs w:val="24"/>
          <w:lang w:val="es-MX"/>
        </w:rPr>
        <w:t xml:space="preserve"> que registre el ciclo de vida completo de cada envase, desde producción hasta reciclaje. Beneficios: transparencia total, cumplimiento regulatorio, mejora reputacional. Costo: $15 millones. Duración: 18 meses.</w:t>
      </w:r>
    </w:p>
    <w:p w14:paraId="3020D17B"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Idea 3: Plataforma de Experiencia Digital Personalizada</w:t>
      </w:r>
    </w:p>
    <w:p w14:paraId="76112EED"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Plataforma </w:t>
      </w:r>
      <w:proofErr w:type="spellStart"/>
      <w:r w:rsidRPr="00EB65DE">
        <w:rPr>
          <w:rFonts w:ascii="Times New Roman" w:hAnsi="Times New Roman" w:cs="Times New Roman"/>
          <w:sz w:val="24"/>
          <w:szCs w:val="24"/>
          <w:lang w:val="es-MX"/>
        </w:rPr>
        <w:t>omnicanal</w:t>
      </w:r>
      <w:proofErr w:type="spellEnd"/>
      <w:r w:rsidRPr="00EB65DE">
        <w:rPr>
          <w:rFonts w:ascii="Times New Roman" w:hAnsi="Times New Roman" w:cs="Times New Roman"/>
          <w:sz w:val="24"/>
          <w:szCs w:val="24"/>
          <w:lang w:val="es-MX"/>
        </w:rPr>
        <w:t xml:space="preserve"> con IA para recomendaciones personalizadas, gamificación y recompensas. Beneficios: aumento del 25% en </w:t>
      </w:r>
      <w:proofErr w:type="spellStart"/>
      <w:r w:rsidRPr="00EB65DE">
        <w:rPr>
          <w:rFonts w:ascii="Times New Roman" w:hAnsi="Times New Roman" w:cs="Times New Roman"/>
          <w:sz w:val="24"/>
          <w:szCs w:val="24"/>
          <w:lang w:val="es-MX"/>
        </w:rPr>
        <w:t>engagement</w:t>
      </w:r>
      <w:proofErr w:type="spellEnd"/>
      <w:r w:rsidRPr="00EB65DE">
        <w:rPr>
          <w:rFonts w:ascii="Times New Roman" w:hAnsi="Times New Roman" w:cs="Times New Roman"/>
          <w:sz w:val="24"/>
          <w:szCs w:val="24"/>
          <w:lang w:val="es-MX"/>
        </w:rPr>
        <w:t xml:space="preserve"> digital. Costo: $20 millones. Duración: 24 meses.</w:t>
      </w:r>
    </w:p>
    <w:p w14:paraId="0C4232BC"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lastRenderedPageBreak/>
        <w:t>Selección del Proyecto</w:t>
      </w:r>
    </w:p>
    <w:p w14:paraId="62A11ADB"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Se selecciona el Sistema de Ventas B2B con Automatización e Inteligencia Artificial (Idea 1) porque: (a) Coca-Cola ya conecta cerca de 8 millones de clientes en plataformas B2B y los pedidos sugeridos por IA ya impulsan crecimiento en mercados como Latinoamérica e India, por lo que el proyecto escala una capacidad probada en lugar de partir de cero; (b) genera retorno financiero directo y de corto plazo, a diferencia de iniciativas de sostenibilidad cuyo beneficio es principalmente reputacional; (c) gran parte del canal tradicional (tiendas de barrio, bares, restaurantes) aún no está plenamente digitalizado, lo que representa una oportunidad de crecimiento; (d) alcance modular y factible para el curso (motor de recomendación, </w:t>
      </w:r>
      <w:proofErr w:type="spellStart"/>
      <w:r w:rsidRPr="00EB65DE">
        <w:rPr>
          <w:rFonts w:ascii="Times New Roman" w:hAnsi="Times New Roman" w:cs="Times New Roman"/>
          <w:sz w:val="24"/>
          <w:szCs w:val="24"/>
          <w:lang w:val="es-MX"/>
        </w:rPr>
        <w:t>chatbot</w:t>
      </w:r>
      <w:proofErr w:type="spellEnd"/>
      <w:r w:rsidRPr="00EB65DE">
        <w:rPr>
          <w:rFonts w:ascii="Times New Roman" w:hAnsi="Times New Roman" w:cs="Times New Roman"/>
          <w:sz w:val="24"/>
          <w:szCs w:val="24"/>
          <w:lang w:val="es-MX"/>
        </w:rPr>
        <w:t xml:space="preserve"> e integración con SAP) en un horizonte de 12 meses.</w:t>
      </w:r>
    </w:p>
    <w:p w14:paraId="5990251D" w14:textId="77777777" w:rsidR="0045072E" w:rsidRPr="00EB65DE" w:rsidRDefault="00000000">
      <w:pPr>
        <w:pStyle w:val="Ttulo1"/>
        <w:rPr>
          <w:szCs w:val="24"/>
          <w:sz w:val="24"/>
          <w:rFonts w:ascii="Times New Roman" w:hAnsi="Times New Roman" w:cs="Times New Roman"/>
          <w:lang w:val="es-MX"/>
        </w:rPr>
      </w:pPr>
      <w:r w:rsidRPr="00EB65DE">
        <w:rPr>
          <w:szCs w:val="24"/>
          <w:sz w:val="24"/>
          <w:rFonts w:ascii="Times New Roman" w:hAnsi="Times New Roman"/>
          <w:lang w:val="es-MX"/>
        </w:rPr>
        <w:t>Entregable 3: Estudio de Mercado</w:t>
      </w:r>
    </w:p>
    <w:p w14:paraId="09ECB669"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Competidores de la Empresa</w:t>
      </w:r>
    </w:p>
    <w:p w14:paraId="591E8AB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Competidores directos en plataformas B2B de bebidas con IA: (a) AB InBev, con su plataforma BEES, líder del sector, activa en 29 mercados y con $52,500 millones en valor de mercancía gestionada en 2025, que incluye reconocimiento de imagen por IA para auditar refrigeradores y anaqueles (BEES Force); (b) PepsiCo, con sus propias herramientas de pedido digital para distribuidores; (c) Nestlé, con plataformas de pedido para distribuidores minoristas.</w:t>
      </w:r>
    </w:p>
    <w:p w14:paraId="03BBC37B"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Competidores en tecnología de ventas con IA: Salesforce (Sales Cloud con Einstein/</w:t>
      </w:r>
      <w:proofErr w:type="spellStart"/>
      <w:r w:rsidRPr="00EB65DE">
        <w:rPr>
          <w:rFonts w:ascii="Times New Roman" w:hAnsi="Times New Roman" w:cs="Times New Roman"/>
          <w:sz w:val="24"/>
          <w:szCs w:val="24"/>
          <w:lang w:val="es-MX"/>
        </w:rPr>
        <w:t>Agentforce</w:t>
      </w:r>
      <w:proofErr w:type="spellEnd"/>
      <w:r w:rsidRPr="00EB65DE">
        <w:rPr>
          <w:rFonts w:ascii="Times New Roman" w:hAnsi="Times New Roman" w:cs="Times New Roman"/>
          <w:sz w:val="24"/>
          <w:szCs w:val="24"/>
          <w:lang w:val="es-MX"/>
        </w:rPr>
        <w:t xml:space="preserve">), Microsoft (Dynamics 365 Sales </w:t>
      </w:r>
      <w:proofErr w:type="spellStart"/>
      <w:r w:rsidRPr="00EB65DE">
        <w:rPr>
          <w:rFonts w:ascii="Times New Roman" w:hAnsi="Times New Roman" w:cs="Times New Roman"/>
          <w:sz w:val="24"/>
          <w:szCs w:val="24"/>
          <w:lang w:val="es-MX"/>
        </w:rPr>
        <w:t>Copilot</w:t>
      </w:r>
      <w:proofErr w:type="spellEnd"/>
      <w:r w:rsidRPr="00EB65DE">
        <w:rPr>
          <w:rFonts w:ascii="Times New Roman" w:hAnsi="Times New Roman" w:cs="Times New Roman"/>
          <w:sz w:val="24"/>
          <w:szCs w:val="24"/>
          <w:lang w:val="es-MX"/>
        </w:rPr>
        <w:t xml:space="preserve">), SAP (Sales Cloud), Oracle (CX Sales), y soluciones especializadas en pedido digital B2B/distribución como </w:t>
      </w:r>
      <w:proofErr w:type="spellStart"/>
      <w:r w:rsidRPr="00EB65DE">
        <w:rPr>
          <w:rFonts w:ascii="Times New Roman" w:hAnsi="Times New Roman" w:cs="Times New Roman"/>
          <w:sz w:val="24"/>
          <w:szCs w:val="24"/>
          <w:lang w:val="es-MX"/>
        </w:rPr>
        <w:t>Pepperi</w:t>
      </w:r>
      <w:proofErr w:type="spellEnd"/>
      <w:r w:rsidRPr="00EB65DE">
        <w:rPr>
          <w:rFonts w:ascii="Times New Roman" w:hAnsi="Times New Roman" w:cs="Times New Roman"/>
          <w:sz w:val="24"/>
          <w:szCs w:val="24"/>
          <w:lang w:val="es-MX"/>
        </w:rPr>
        <w:t xml:space="preserve">, </w:t>
      </w:r>
      <w:proofErr w:type="spellStart"/>
      <w:r w:rsidRPr="00EB65DE">
        <w:rPr>
          <w:rFonts w:ascii="Times New Roman" w:hAnsi="Times New Roman" w:cs="Times New Roman"/>
          <w:sz w:val="24"/>
          <w:szCs w:val="24"/>
          <w:lang w:val="es-MX"/>
        </w:rPr>
        <w:t>Toolyt</w:t>
      </w:r>
      <w:proofErr w:type="spellEnd"/>
      <w:r w:rsidRPr="00EB65DE">
        <w:rPr>
          <w:rFonts w:ascii="Times New Roman" w:hAnsi="Times New Roman" w:cs="Times New Roman"/>
          <w:sz w:val="24"/>
          <w:szCs w:val="24"/>
          <w:lang w:val="es-MX"/>
        </w:rPr>
        <w:t xml:space="preserve"> y Wabi2B (esta última con fuerte presencia en Latinoamérica).</w:t>
      </w:r>
    </w:p>
    <w:p w14:paraId="5546FFFA"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Elementos de TI Operativos de Coca-Cola</w:t>
      </w:r>
    </w:p>
    <w:p w14:paraId="1FD6FFCD"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Infraestructura en Google Cloud, SAP ERP, plataformas B2B propias (</w:t>
      </w:r>
      <w:proofErr w:type="spellStart"/>
      <w:r w:rsidRPr="00EB65DE">
        <w:rPr>
          <w:rFonts w:ascii="Times New Roman" w:hAnsi="Times New Roman" w:cs="Times New Roman"/>
          <w:sz w:val="24"/>
          <w:szCs w:val="24"/>
          <w:lang w:val="es-MX"/>
        </w:rPr>
        <w:t>myCoke</w:t>
      </w:r>
      <w:proofErr w:type="spellEnd"/>
      <w:r w:rsidRPr="00EB65DE">
        <w:rPr>
          <w:rFonts w:ascii="Times New Roman" w:hAnsi="Times New Roman" w:cs="Times New Roman"/>
          <w:sz w:val="24"/>
          <w:szCs w:val="24"/>
          <w:lang w:val="es-MX"/>
        </w:rPr>
        <w:t xml:space="preserve"> / eB2B, con cerca de 8 millones de clientes conectados), sistemas de ruta de reparto, CRM y herramientas de BI (</w:t>
      </w:r>
      <w:proofErr w:type="spellStart"/>
      <w:r w:rsidRPr="00EB65DE">
        <w:rPr>
          <w:rFonts w:ascii="Times New Roman" w:hAnsi="Times New Roman" w:cs="Times New Roman"/>
          <w:sz w:val="24"/>
          <w:szCs w:val="24"/>
          <w:lang w:val="es-MX"/>
        </w:rPr>
        <w:t>Tableau</w:t>
      </w:r>
      <w:proofErr w:type="spellEnd"/>
      <w:r w:rsidRPr="00EB65DE">
        <w:rPr>
          <w:rFonts w:ascii="Times New Roman" w:hAnsi="Times New Roman" w:cs="Times New Roman"/>
          <w:sz w:val="24"/>
          <w:szCs w:val="24"/>
          <w:lang w:val="es-MX"/>
        </w:rPr>
        <w:t xml:space="preserve">, Power BI), además de una alianza vigente con Microsoft Azure </w:t>
      </w:r>
      <w:proofErr w:type="spellStart"/>
      <w:r w:rsidRPr="00EB65DE">
        <w:rPr>
          <w:rFonts w:ascii="Times New Roman" w:hAnsi="Times New Roman" w:cs="Times New Roman"/>
          <w:sz w:val="24"/>
          <w:szCs w:val="24"/>
          <w:lang w:val="es-MX"/>
        </w:rPr>
        <w:t>OpenAI</w:t>
      </w:r>
      <w:proofErr w:type="spellEnd"/>
      <w:r w:rsidRPr="00EB65DE">
        <w:rPr>
          <w:rFonts w:ascii="Times New Roman" w:hAnsi="Times New Roman" w:cs="Times New Roman"/>
          <w:sz w:val="24"/>
          <w:szCs w:val="24"/>
          <w:lang w:val="es-MX"/>
        </w:rPr>
        <w:t xml:space="preserve"> Service.</w:t>
      </w:r>
    </w:p>
    <w:p w14:paraId="1620171E"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Proveedores</w:t>
      </w:r>
    </w:p>
    <w:p w14:paraId="6823A3DA"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IA conversacional y generativa: Microsoft Azure </w:t>
      </w:r>
      <w:proofErr w:type="spellStart"/>
      <w:r w:rsidRPr="00EB65DE">
        <w:rPr>
          <w:rFonts w:ascii="Times New Roman" w:hAnsi="Times New Roman" w:cs="Times New Roman"/>
          <w:sz w:val="24"/>
          <w:szCs w:val="24"/>
          <w:lang w:val="es-MX"/>
        </w:rPr>
        <w:t>OpenAI</w:t>
      </w:r>
      <w:proofErr w:type="spellEnd"/>
      <w:r w:rsidRPr="00EB65DE">
        <w:rPr>
          <w:rFonts w:ascii="Times New Roman" w:hAnsi="Times New Roman" w:cs="Times New Roman"/>
          <w:sz w:val="24"/>
          <w:szCs w:val="24"/>
          <w:lang w:val="es-MX"/>
        </w:rPr>
        <w:t xml:space="preserve"> Service (alianza vigente de 5 años por $1,100 millones), Google Cloud </w:t>
      </w:r>
      <w:proofErr w:type="spellStart"/>
      <w:r w:rsidRPr="00EB65DE">
        <w:rPr>
          <w:rFonts w:ascii="Times New Roman" w:hAnsi="Times New Roman" w:cs="Times New Roman"/>
          <w:sz w:val="24"/>
          <w:szCs w:val="24"/>
          <w:lang w:val="es-MX"/>
        </w:rPr>
        <w:t>Vertex</w:t>
      </w:r>
      <w:proofErr w:type="spellEnd"/>
      <w:r w:rsidRPr="00EB65DE">
        <w:rPr>
          <w:rFonts w:ascii="Times New Roman" w:hAnsi="Times New Roman" w:cs="Times New Roman"/>
          <w:sz w:val="24"/>
          <w:szCs w:val="24"/>
          <w:lang w:val="es-MX"/>
        </w:rPr>
        <w:t xml:space="preserve"> AI, </w:t>
      </w:r>
      <w:proofErr w:type="spellStart"/>
      <w:r w:rsidRPr="00EB65DE">
        <w:rPr>
          <w:rFonts w:ascii="Times New Roman" w:hAnsi="Times New Roman" w:cs="Times New Roman"/>
          <w:sz w:val="24"/>
          <w:szCs w:val="24"/>
          <w:lang w:val="es-MX"/>
        </w:rPr>
        <w:t>OpenAI</w:t>
      </w:r>
      <w:proofErr w:type="spellEnd"/>
      <w:r w:rsidRPr="00EB65DE">
        <w:rPr>
          <w:rFonts w:ascii="Times New Roman" w:hAnsi="Times New Roman" w:cs="Times New Roman"/>
          <w:sz w:val="24"/>
          <w:szCs w:val="24"/>
          <w:lang w:val="es-MX"/>
        </w:rPr>
        <w:t>. Plataformas de venta con IA: Salesforce Sales Cloud/</w:t>
      </w:r>
      <w:proofErr w:type="spellStart"/>
      <w:r w:rsidRPr="00EB65DE">
        <w:rPr>
          <w:rFonts w:ascii="Times New Roman" w:hAnsi="Times New Roman" w:cs="Times New Roman"/>
          <w:sz w:val="24"/>
          <w:szCs w:val="24"/>
          <w:lang w:val="es-MX"/>
        </w:rPr>
        <w:t>Agentforce</w:t>
      </w:r>
      <w:proofErr w:type="spellEnd"/>
      <w:r w:rsidRPr="00EB65DE">
        <w:rPr>
          <w:rFonts w:ascii="Times New Roman" w:hAnsi="Times New Roman" w:cs="Times New Roman"/>
          <w:sz w:val="24"/>
          <w:szCs w:val="24"/>
          <w:lang w:val="es-MX"/>
        </w:rPr>
        <w:t xml:space="preserve"> (licencias desde $165 hasta más de $500 por usuario/mes), Microsoft Dynamics 365 Sales (desde $95 por usuario/mes), SAP Sales Cloud (precio </w:t>
      </w:r>
      <w:r w:rsidRPr="00EB65DE">
        <w:rPr>
          <w:rFonts w:ascii="Times New Roman" w:hAnsi="Times New Roman" w:cs="Times New Roman"/>
          <w:sz w:val="24"/>
          <w:szCs w:val="24"/>
          <w:lang w:val="es-MX"/>
        </w:rPr>
        <w:lastRenderedPageBreak/>
        <w:t xml:space="preserve">personalizado). Mensajería conversacional: WhatsApp Business API, </w:t>
      </w:r>
      <w:proofErr w:type="spellStart"/>
      <w:r w:rsidRPr="00EB65DE">
        <w:rPr>
          <w:rFonts w:ascii="Times New Roman" w:hAnsi="Times New Roman" w:cs="Times New Roman"/>
          <w:sz w:val="24"/>
          <w:szCs w:val="24"/>
          <w:lang w:val="es-MX"/>
        </w:rPr>
        <w:t>Twilio</w:t>
      </w:r>
      <w:proofErr w:type="spellEnd"/>
      <w:r w:rsidRPr="00EB65DE">
        <w:rPr>
          <w:rFonts w:ascii="Times New Roman" w:hAnsi="Times New Roman" w:cs="Times New Roman"/>
          <w:sz w:val="24"/>
          <w:szCs w:val="24"/>
          <w:lang w:val="es-MX"/>
        </w:rPr>
        <w:t>. Consultoría: Accenture ($200-$400/hora), Bain (alianza vigente con Coca-Cola), Deloitte, PwC.</w:t>
      </w:r>
    </w:p>
    <w:p w14:paraId="3A51C6C0"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Precios de los Productos</w:t>
      </w:r>
    </w:p>
    <w:p w14:paraId="6E42847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Plataformas de IA conversacional empresarial: Azure </w:t>
      </w:r>
      <w:proofErr w:type="spellStart"/>
      <w:r w:rsidRPr="00EB65DE">
        <w:rPr>
          <w:rFonts w:ascii="Times New Roman" w:hAnsi="Times New Roman" w:cs="Times New Roman"/>
          <w:sz w:val="24"/>
          <w:szCs w:val="24"/>
          <w:lang w:val="es-MX"/>
        </w:rPr>
        <w:t>OpenAI</w:t>
      </w:r>
      <w:proofErr w:type="spellEnd"/>
      <w:r w:rsidRPr="00EB65DE">
        <w:rPr>
          <w:rFonts w:ascii="Times New Roman" w:hAnsi="Times New Roman" w:cs="Times New Roman"/>
          <w:sz w:val="24"/>
          <w:szCs w:val="24"/>
          <w:lang w:val="es-MX"/>
        </w:rPr>
        <w:t xml:space="preserve"> Service (precio por consumo de tokens, sin tarifa fija), soluciones personalizadas de </w:t>
      </w:r>
      <w:proofErr w:type="spellStart"/>
      <w:r w:rsidRPr="00EB65DE">
        <w:rPr>
          <w:rFonts w:ascii="Times New Roman" w:hAnsi="Times New Roman" w:cs="Times New Roman"/>
          <w:sz w:val="24"/>
          <w:szCs w:val="24"/>
          <w:lang w:val="es-MX"/>
        </w:rPr>
        <w:t>chatbot</w:t>
      </w:r>
      <w:proofErr w:type="spellEnd"/>
      <w:r w:rsidRPr="00EB65DE">
        <w:rPr>
          <w:rFonts w:ascii="Times New Roman" w:hAnsi="Times New Roman" w:cs="Times New Roman"/>
          <w:sz w:val="24"/>
          <w:szCs w:val="24"/>
          <w:lang w:val="es-MX"/>
        </w:rPr>
        <w:t xml:space="preserve"> de pedidos ($150,000-$600,000 de desarrollo). Plataformas de ventas con IA: Salesforce </w:t>
      </w:r>
      <w:proofErr w:type="spellStart"/>
      <w:r w:rsidRPr="00EB65DE">
        <w:rPr>
          <w:rFonts w:ascii="Times New Roman" w:hAnsi="Times New Roman" w:cs="Times New Roman"/>
          <w:sz w:val="24"/>
          <w:szCs w:val="24"/>
          <w:lang w:val="es-MX"/>
        </w:rPr>
        <w:t>Agentforce</w:t>
      </w:r>
      <w:proofErr w:type="spellEnd"/>
      <w:r w:rsidRPr="00EB65DE">
        <w:rPr>
          <w:rFonts w:ascii="Times New Roman" w:hAnsi="Times New Roman" w:cs="Times New Roman"/>
          <w:sz w:val="24"/>
          <w:szCs w:val="24"/>
          <w:lang w:val="es-MX"/>
        </w:rPr>
        <w:t xml:space="preserve"> ($165-$550/usuario/mes), Microsoft Dynamics 365 Sales </w:t>
      </w:r>
      <w:proofErr w:type="spellStart"/>
      <w:r w:rsidRPr="00EB65DE">
        <w:rPr>
          <w:rFonts w:ascii="Times New Roman" w:hAnsi="Times New Roman" w:cs="Times New Roman"/>
          <w:sz w:val="24"/>
          <w:szCs w:val="24"/>
          <w:lang w:val="es-MX"/>
        </w:rPr>
        <w:t>Copilot</w:t>
      </w:r>
      <w:proofErr w:type="spellEnd"/>
      <w:r w:rsidRPr="00EB65DE">
        <w:rPr>
          <w:rFonts w:ascii="Times New Roman" w:hAnsi="Times New Roman" w:cs="Times New Roman"/>
          <w:sz w:val="24"/>
          <w:szCs w:val="24"/>
          <w:lang w:val="es-MX"/>
        </w:rPr>
        <w:t xml:space="preserve"> ($95-$135/usuario/mes), SAP Sales Cloud (cotización personalizada, generalmente desde $1,200,000/año para despliegues grandes). Consultoría: estrategia ($40,000-$80,000), desarrollo ($300,000-$700,000), capacitación ($50,000-$120,000).</w:t>
      </w:r>
    </w:p>
    <w:p w14:paraId="08DFFB4F"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Demanda y Elasticidad</w:t>
      </w:r>
    </w:p>
    <w:p w14:paraId="13B8BCC6"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El mercado global de software de automatización de fuerza de ventas alcanzó cerca de $9,250 millones en 2022, con proyección a $17,940 millones en 2030 (CAGR 8.7%). La demanda por parte de Coca-Cola es inelástica: el costo del proyecto ($6.4M) representa menos del 0.02% de los ingresos anuales ($47,000M), y la empresa ya reporta que los pedidos sugeridos por IA están impulsando crecimiento en mercados como Latinoamérica e India, lo que reduce el riesgo de adopción.</w:t>
      </w:r>
    </w:p>
    <w:p w14:paraId="312EBED0"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Productos Sustitutos, Complementarios e Independientes</w:t>
      </w:r>
    </w:p>
    <w:p w14:paraId="695B04F5"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Sustitutos: toma de pedidos manual por representantes humanos, llamadas telefónicas, plataformas B2B con catálogo estático sin IA. Complementarios: SAP ERP, sistemas de ruta de reparto y logística de última milla, billeteras y pasarelas de pago digital, CRM. Independientes: sistemas de RRHH, marketing de marca, planificación financiera corporativa.</w:t>
      </w:r>
    </w:p>
    <w:p w14:paraId="63DA0B36" w14:textId="77777777" w:rsidR="0045072E" w:rsidRPr="00EB65DE" w:rsidRDefault="00000000">
      <w:pPr>
        <w:pStyle w:val="Ttulo1"/>
        <w:rPr>
          <w:szCs w:val="24"/>
          <w:sz w:val="24"/>
          <w:rFonts w:ascii="Times New Roman" w:hAnsi="Times New Roman" w:cs="Times New Roman"/>
          <w:lang w:val="es-MX"/>
        </w:rPr>
      </w:pPr>
      <w:r w:rsidRPr="00EB65DE">
        <w:rPr>
          <w:szCs w:val="24"/>
          <w:sz w:val="24"/>
          <w:rFonts w:ascii="Times New Roman" w:hAnsi="Times New Roman"/>
          <w:lang w:val="es-MX"/>
        </w:rPr>
        <w:t>Entregable 4: Estudio Técnico y Legal</w:t>
      </w:r>
    </w:p>
    <w:p w14:paraId="3EECF926"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Requerimientos Técnicos</w:t>
      </w:r>
    </w:p>
    <w:p w14:paraId="241EFB2D"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Funcionales</w:t>
      </w:r>
    </w:p>
    <w:p w14:paraId="5396B50E"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 Motor de recomendación de pedidos basado en IA (historial de compra, estacionalidad, eventos locales); (b) asistente conversacional para captura de pedidos en lenguaje natural vía WhatsApp/app; (c) detección de quiebres de stock y sugerencia automática de reposición; (d) integración con SAP ERP y sistemas de ruta de reparto; (e) panel para representantes de ventas con alertas e información por cliente; (f) gestión de promociones y precios dinámicos por cliente/canal; (g) reportes de desempeño comercial en tiempo real.</w:t>
      </w:r>
    </w:p>
    <w:p w14:paraId="57ACAD68"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lastRenderedPageBreak/>
        <w:t>No Funcionales</w:t>
      </w:r>
    </w:p>
    <w:p w14:paraId="16854806"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(a) Escalabilidad para millones de clientes conectados; (b) disponibilidad 99.9%; (c) tiempo de respuesta del asistente conversacional menor a 3 segundos; (d) cifrado de datos transaccionales y de pago; (e) cumplimiento de normativa de protección de datos por país; (f) interoperabilidad con sistemas legados (SAP, </w:t>
      </w:r>
      <w:proofErr w:type="spellStart"/>
      <w:r w:rsidRPr="00EB65DE">
        <w:rPr>
          <w:rFonts w:ascii="Times New Roman" w:hAnsi="Times New Roman" w:cs="Times New Roman"/>
          <w:sz w:val="24"/>
          <w:szCs w:val="24"/>
          <w:lang w:val="es-MX"/>
        </w:rPr>
        <w:t>myCoke</w:t>
      </w:r>
      <w:proofErr w:type="spellEnd"/>
      <w:r w:rsidRPr="00EB65DE">
        <w:rPr>
          <w:rFonts w:ascii="Times New Roman" w:hAnsi="Times New Roman" w:cs="Times New Roman"/>
          <w:sz w:val="24"/>
          <w:szCs w:val="24"/>
          <w:lang w:val="es-MX"/>
        </w:rPr>
        <w:t xml:space="preserve">/eB2B); (g) soporte </w:t>
      </w:r>
      <w:proofErr w:type="spellStart"/>
      <w:r w:rsidRPr="00EB65DE">
        <w:rPr>
          <w:rFonts w:ascii="Times New Roman" w:hAnsi="Times New Roman" w:cs="Times New Roman"/>
          <w:sz w:val="24"/>
          <w:szCs w:val="24"/>
          <w:lang w:val="es-MX"/>
        </w:rPr>
        <w:t>multiidioma</w:t>
      </w:r>
      <w:proofErr w:type="spellEnd"/>
      <w:r w:rsidRPr="00EB65DE">
        <w:rPr>
          <w:rFonts w:ascii="Times New Roman" w:hAnsi="Times New Roman" w:cs="Times New Roman"/>
          <w:sz w:val="24"/>
          <w:szCs w:val="24"/>
          <w:lang w:val="es-MX"/>
        </w:rPr>
        <w:t xml:space="preserve"> (español, portugués, inglés, entre otros).</w:t>
      </w:r>
    </w:p>
    <w:p w14:paraId="1228CE79"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Capacidades Técnicas Organizacionales</w:t>
      </w:r>
    </w:p>
    <w:p w14:paraId="4285A597"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Capacidades existentes: infraestructura en Google Cloud y SAP ERP operativa, plataformas B2B propias (</w:t>
      </w:r>
      <w:proofErr w:type="spellStart"/>
      <w:r w:rsidRPr="00EB65DE">
        <w:rPr>
          <w:rFonts w:ascii="Times New Roman" w:hAnsi="Times New Roman" w:cs="Times New Roman"/>
          <w:sz w:val="24"/>
          <w:szCs w:val="24"/>
          <w:lang w:val="es-MX"/>
        </w:rPr>
        <w:t>myCoke</w:t>
      </w:r>
      <w:proofErr w:type="spellEnd"/>
      <w:r w:rsidRPr="00EB65DE">
        <w:rPr>
          <w:rFonts w:ascii="Times New Roman" w:hAnsi="Times New Roman" w:cs="Times New Roman"/>
          <w:sz w:val="24"/>
          <w:szCs w:val="24"/>
          <w:lang w:val="es-MX"/>
        </w:rPr>
        <w:t xml:space="preserve">/eB2B) con cerca de 8 millones de clientes conectados, alianza vigente con Microsoft Azure </w:t>
      </w:r>
      <w:proofErr w:type="spellStart"/>
      <w:r w:rsidRPr="00EB65DE">
        <w:rPr>
          <w:rFonts w:ascii="Times New Roman" w:hAnsi="Times New Roman" w:cs="Times New Roman"/>
          <w:sz w:val="24"/>
          <w:szCs w:val="24"/>
          <w:lang w:val="es-MX"/>
        </w:rPr>
        <w:t>OpenAI</w:t>
      </w:r>
      <w:proofErr w:type="spellEnd"/>
      <w:r w:rsidRPr="00EB65DE">
        <w:rPr>
          <w:rFonts w:ascii="Times New Roman" w:hAnsi="Times New Roman" w:cs="Times New Roman"/>
          <w:sz w:val="24"/>
          <w:szCs w:val="24"/>
          <w:lang w:val="es-MX"/>
        </w:rPr>
        <w:t xml:space="preserve"> Service, equipo de TI global de 5,000+ profesionales. Capacidades requeridas: equipo de data </w:t>
      </w:r>
      <w:proofErr w:type="spellStart"/>
      <w:r w:rsidRPr="00EB65DE">
        <w:rPr>
          <w:rFonts w:ascii="Times New Roman" w:hAnsi="Times New Roman" w:cs="Times New Roman"/>
          <w:sz w:val="24"/>
          <w:szCs w:val="24"/>
          <w:lang w:val="es-MX"/>
        </w:rPr>
        <w:t>scientists</w:t>
      </w:r>
      <w:proofErr w:type="spellEnd"/>
      <w:r w:rsidRPr="00EB65DE">
        <w:rPr>
          <w:rFonts w:ascii="Times New Roman" w:hAnsi="Times New Roman" w:cs="Times New Roman"/>
          <w:sz w:val="24"/>
          <w:szCs w:val="24"/>
          <w:lang w:val="es-MX"/>
        </w:rPr>
        <w:t xml:space="preserve"> e ingenieros de IA conversacional, gobernanza de datos de clientes del canal tradicional, programa de capacitación para que la fuerza de ventas pase de "tomadores de pedido" a un rol consultivo apoyado por datos.</w:t>
      </w:r>
    </w:p>
    <w:p w14:paraId="1C2E5D16"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Costos Operativos y de Inversión</w:t>
      </w:r>
    </w:p>
    <w:p w14:paraId="39B5D68E"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Inversión Inicial (Año 0)</w:t>
      </w:r>
    </w:p>
    <w:p w14:paraId="0FF4DCF5"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Desarrollo del motor de recomendación de IA: $1,800,000. Desarrollo del asistente conversacional multicanal: $1,200,000. Integración con SAP ERP y sistemas de ruta: $900,000. Licencias de plataformas de IA: $600,000. Consultoría e implementación: $700,000. Capacitación de la fuerza de ventas: $350,000. Gestión del cambio: $250,000. Contingencias (10%): $580,000. </w:t>
      </w:r>
      <w:proofErr w:type="gramStart"/>
      <w:r w:rsidRPr="00EB65DE">
        <w:rPr>
          <w:rFonts w:ascii="Times New Roman" w:hAnsi="Times New Roman" w:cs="Times New Roman"/>
          <w:sz w:val="24"/>
          <w:szCs w:val="24"/>
          <w:lang w:val="es-MX"/>
        </w:rPr>
        <w:t>Total</w:t>
      </w:r>
      <w:proofErr w:type="gramEnd"/>
      <w:r w:rsidRPr="00EB65DE">
        <w:rPr>
          <w:rFonts w:ascii="Times New Roman" w:hAnsi="Times New Roman" w:cs="Times New Roman"/>
          <w:sz w:val="24"/>
          <w:szCs w:val="24"/>
          <w:lang w:val="es-MX"/>
        </w:rPr>
        <w:t xml:space="preserve"> inversión inicial: $6,380,000.</w:t>
      </w:r>
    </w:p>
    <w:p w14:paraId="3FCD4E8A"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Costos Operativos Anuales</w:t>
      </w:r>
    </w:p>
    <w:p w14:paraId="424ACC10"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Infraestructura </w:t>
      </w:r>
      <w:proofErr w:type="spellStart"/>
      <w:r w:rsidRPr="00EB65DE">
        <w:rPr>
          <w:rFonts w:ascii="Times New Roman" w:hAnsi="Times New Roman" w:cs="Times New Roman"/>
          <w:sz w:val="24"/>
          <w:szCs w:val="24"/>
          <w:lang w:val="es-MX"/>
        </w:rPr>
        <w:t>cloud</w:t>
      </w:r>
      <w:proofErr w:type="spellEnd"/>
      <w:r w:rsidRPr="00EB65DE">
        <w:rPr>
          <w:rFonts w:ascii="Times New Roman" w:hAnsi="Times New Roman" w:cs="Times New Roman"/>
          <w:sz w:val="24"/>
          <w:szCs w:val="24"/>
          <w:lang w:val="es-MX"/>
        </w:rPr>
        <w:t xml:space="preserve"> (cómputo de IA, almacenamiento): $700,000. Mantenimiento y soporte de plataforma: $450,000. Personal (data </w:t>
      </w:r>
      <w:proofErr w:type="spellStart"/>
      <w:r w:rsidRPr="00EB65DE">
        <w:rPr>
          <w:rFonts w:ascii="Times New Roman" w:hAnsi="Times New Roman" w:cs="Times New Roman"/>
          <w:sz w:val="24"/>
          <w:szCs w:val="24"/>
          <w:lang w:val="es-MX"/>
        </w:rPr>
        <w:t>scientists</w:t>
      </w:r>
      <w:proofErr w:type="spellEnd"/>
      <w:r w:rsidRPr="00EB65DE">
        <w:rPr>
          <w:rFonts w:ascii="Times New Roman" w:hAnsi="Times New Roman" w:cs="Times New Roman"/>
          <w:sz w:val="24"/>
          <w:szCs w:val="24"/>
          <w:lang w:val="es-MX"/>
        </w:rPr>
        <w:t xml:space="preserve"> y soporte): $900,000. Licencias anuales: $400,000. Actualización de modelos de IA: $250,000. Capacitación continua: $120,000. Seguridad y cumplimiento: $180,000. </w:t>
      </w:r>
      <w:proofErr w:type="gramStart"/>
      <w:r w:rsidRPr="00EB65DE">
        <w:rPr>
          <w:rFonts w:ascii="Times New Roman" w:hAnsi="Times New Roman" w:cs="Times New Roman"/>
          <w:sz w:val="24"/>
          <w:szCs w:val="24"/>
          <w:lang w:val="es-MX"/>
        </w:rPr>
        <w:t>Total</w:t>
      </w:r>
      <w:proofErr w:type="gramEnd"/>
      <w:r w:rsidRPr="00EB65DE">
        <w:rPr>
          <w:rFonts w:ascii="Times New Roman" w:hAnsi="Times New Roman" w:cs="Times New Roman"/>
          <w:sz w:val="24"/>
          <w:szCs w:val="24"/>
          <w:lang w:val="es-MX"/>
        </w:rPr>
        <w:t xml:space="preserve"> anual: $3,000,000.</w:t>
      </w:r>
    </w:p>
    <w:p w14:paraId="4A836A0A"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Flujo de Costos a 5 Años</w:t>
      </w:r>
    </w:p>
    <w:p w14:paraId="2E87CE83"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Año 0: -$6,380,000. Año 1: -$3,000,000. Año 2: -$3,000,000. Año 3: -$3,100,000. Año 4: -$3,000,000. Año 5: -$3,200,000.</w:t>
      </w:r>
    </w:p>
    <w:p w14:paraId="2B0A3901"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lastRenderedPageBreak/>
        <w:t>Cálculo del VAN</w:t>
      </w:r>
    </w:p>
    <w:p w14:paraId="4239A4CB"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Tasa de descuento (WACC): 6.5%. Beneficios anuales estimados: $6,000,000 (incremento de ventas por pedidos sugeridos por IA $4M, eficiencia de la fuerza de ventas $1.2M, reducción de quiebres de stock $0.8M).</w:t>
      </w:r>
    </w:p>
    <w:p w14:paraId="3873D9E3"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VAN = -$6,380,000 + ($3,000,000/1.065) + ($3,000,000/1.065²) + ($2,900,000/1.065³) + ($3,000,000/1.065⁴) + ($2,800,000/1.065⁵) = +$5,858,000</w:t>
      </w:r>
    </w:p>
    <w:p w14:paraId="4F7AA0A5"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El VAN positivo refleja que el proyecto se autofinancia y genera valor adicional dentro del horizonte de 5 años, a diferencia de iniciativas de sostenibilidad cuyo retorno es principalmente reputacional. El riesgo principal no es financiero sino de adopción: depende de que la fuerza de ventas y los clientes del canal tradicional adopten el nuevo modelo de pedido asistido por IA.</w:t>
      </w:r>
    </w:p>
    <w:p w14:paraId="2E71C936"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Estudio Legal</w:t>
      </w:r>
    </w:p>
    <w:p w14:paraId="5E40EC57"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Normativa Internacional</w:t>
      </w:r>
    </w:p>
    <w:p w14:paraId="7BB7A9A2"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ISO/IEC 42001:2023 Sistema de Gestión de Inteligencia Artificial, ISO/IEC 27001 (Seguridad de la Información), NIST AI Risk Management Framework, marco de IA confiable de la OCDE, Reglamento de Inteligencia Artificial de la Unión Europea (EU AI </w:t>
      </w:r>
      <w:proofErr w:type="spellStart"/>
      <w:r w:rsidRPr="00EB65DE">
        <w:rPr>
          <w:rFonts w:ascii="Times New Roman" w:hAnsi="Times New Roman" w:cs="Times New Roman"/>
          <w:sz w:val="24"/>
          <w:szCs w:val="24"/>
          <w:lang w:val="es-MX"/>
        </w:rPr>
        <w:t>Act</w:t>
      </w:r>
      <w:proofErr w:type="spellEnd"/>
      <w:r w:rsidRPr="00EB65DE">
        <w:rPr>
          <w:rFonts w:ascii="Times New Roman" w:hAnsi="Times New Roman" w:cs="Times New Roman"/>
          <w:sz w:val="24"/>
          <w:szCs w:val="24"/>
          <w:lang w:val="es-MX"/>
        </w:rPr>
        <w:t>).</w:t>
      </w:r>
    </w:p>
    <w:p w14:paraId="4FF3987F"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Normativa Regional y Local</w:t>
      </w:r>
    </w:p>
    <w:p w14:paraId="4F2E28A9"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Leyes de protección de datos personales por país: GDPR (Europa), CCPA (California), LGPD (Brasil), Ley 1581 de 2012 (Colombia), LFPDPPP (México); normativa de </w:t>
      </w:r>
      <w:proofErr w:type="gramStart"/>
      <w:r w:rsidRPr="00EB65DE">
        <w:rPr>
          <w:rFonts w:ascii="Times New Roman" w:hAnsi="Times New Roman" w:cs="Times New Roman"/>
          <w:sz w:val="24"/>
          <w:szCs w:val="24"/>
          <w:lang w:val="es-MX"/>
        </w:rPr>
        <w:t>comercio electrónico y facturación electrónica</w:t>
      </w:r>
      <w:proofErr w:type="gramEnd"/>
      <w:r w:rsidRPr="00EB65DE">
        <w:rPr>
          <w:rFonts w:ascii="Times New Roman" w:hAnsi="Times New Roman" w:cs="Times New Roman"/>
          <w:sz w:val="24"/>
          <w:szCs w:val="24"/>
          <w:lang w:val="es-MX"/>
        </w:rPr>
        <w:t xml:space="preserve"> B2B por país; regulación de competencia y antimonopolio aplicable a la fijación dinámica de precios.</w:t>
      </w:r>
    </w:p>
    <w:p w14:paraId="38DAC425" w14:textId="77777777" w:rsidR="0045072E" w:rsidRPr="00EB65DE" w:rsidRDefault="00000000">
      <w:pPr>
        <w:pStyle w:val="Ttulo3"/>
        <w:rPr>
          <w:szCs w:val="24"/>
          <w:sz w:val="24"/>
          <w:rFonts w:ascii="Times New Roman" w:hAnsi="Times New Roman" w:cs="Times New Roman"/>
          <w:lang w:val="es-MX"/>
        </w:rPr>
      </w:pPr>
      <w:r w:rsidRPr="00EB65DE">
        <w:rPr>
          <w:szCs w:val="24"/>
          <w:sz w:val="24"/>
          <w:rFonts w:ascii="Times New Roman" w:hAnsi="Times New Roman"/>
          <w:lang w:val="es-MX"/>
        </w:rPr>
        <w:t>Estándares y Mejores Prácticas</w:t>
      </w:r>
    </w:p>
    <w:p w14:paraId="3BA396BC"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Guías de IA responsable de Microsoft y Google Cloud, marco de IA confiable de Gartner para automatización de fuerza de ventas, mejores prácticas de Salesforce y SAP para gestión de datos de clientes B2B.</w:t>
      </w:r>
    </w:p>
    <w:p w14:paraId="0DDA753B" w14:textId="77777777" w:rsidR="0045072E" w:rsidRPr="00EB65DE" w:rsidRDefault="00000000">
      <w:pPr>
        <w:pStyle w:val="Ttulo1"/>
        <w:rPr>
          <w:szCs w:val="24"/>
          <w:sz w:val="24"/>
          <w:rFonts w:ascii="Times New Roman" w:hAnsi="Times New Roman" w:cs="Times New Roman"/>
          <w:lang w:val="es-MX"/>
        </w:rPr>
      </w:pPr>
      <w:r w:rsidRPr="00EB65DE">
        <w:rPr>
          <w:szCs w:val="24"/>
          <w:sz w:val="24"/>
          <w:rFonts w:ascii="Times New Roman" w:hAnsi="Times New Roman"/>
          <w:lang w:val="es-MX"/>
        </w:rPr>
        <w:t>Entregable 5: Acta de Constitución, Interesados, EDT y Alcance</w:t>
      </w:r>
    </w:p>
    <w:p w14:paraId="10CFFE20"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Acta de Constitución del Proyecto</w:t>
      </w:r>
    </w:p>
    <w:p w14:paraId="1654D31D"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Nombre: Sistema de Ventas B2B con Automatización e Inteligencia Artificial para The Coca-Cola Company. Patrocinador: </w:t>
      </w:r>
      <w:proofErr w:type="gramStart"/>
      <w:r w:rsidRPr="00EB65DE">
        <w:rPr>
          <w:rFonts w:ascii="Times New Roman" w:hAnsi="Times New Roman" w:cs="Times New Roman"/>
          <w:sz w:val="24"/>
          <w:szCs w:val="24"/>
          <w:lang w:val="es-MX"/>
        </w:rPr>
        <w:t>Vicepresidente</w:t>
      </w:r>
      <w:proofErr w:type="gramEnd"/>
      <w:r w:rsidRPr="00EB65DE">
        <w:rPr>
          <w:rFonts w:ascii="Times New Roman" w:hAnsi="Times New Roman" w:cs="Times New Roman"/>
          <w:sz w:val="24"/>
          <w:szCs w:val="24"/>
          <w:lang w:val="es-MX"/>
        </w:rPr>
        <w:t xml:space="preserve"> Global de Ventas. Fecha: 1 de enero 2027 al 31 de diciembre 2027 (12 meses). Presupuesto: $6,380,000.</w:t>
      </w:r>
    </w:p>
    <w:p w14:paraId="4F33CFEF"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lastRenderedPageBreak/>
        <w:t>Justificación: Coca-Cola conecta a casi 8 millones de clientes en plataformas B2B, y los pedidos sugeridos por IA ya impulsan crecimiento en mercados como Latinoamérica e India. Sin embargo, gran parte del canal tradicional (tiendas de barrio, bares y restaurantes) aún no aprovecha estas capacidades de forma plena, lo que limita la frecuencia de pedido y la eficiencia de la fuerza de ventas.</w:t>
      </w:r>
    </w:p>
    <w:p w14:paraId="11BCD9D8"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Objetivo: Implementar un sistema de IA que automatice la toma de pedidos, recomiende productos y cantidades, y apoye a la fuerza de ventas en la atención de clientes B2B del canal tradicional.</w:t>
      </w:r>
    </w:p>
    <w:p w14:paraId="14FDFB07"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Hitos: (1) Planificación y diseño (mes 1); (2) MVP del motor de recomendación y </w:t>
      </w:r>
      <w:proofErr w:type="spellStart"/>
      <w:r w:rsidRPr="00EB65DE">
        <w:rPr>
          <w:rFonts w:ascii="Times New Roman" w:hAnsi="Times New Roman" w:cs="Times New Roman"/>
          <w:sz w:val="24"/>
          <w:szCs w:val="24"/>
          <w:lang w:val="es-MX"/>
        </w:rPr>
        <w:t>chatbot</w:t>
      </w:r>
      <w:proofErr w:type="spellEnd"/>
      <w:r w:rsidRPr="00EB65DE">
        <w:rPr>
          <w:rFonts w:ascii="Times New Roman" w:hAnsi="Times New Roman" w:cs="Times New Roman"/>
          <w:sz w:val="24"/>
          <w:szCs w:val="24"/>
          <w:lang w:val="es-MX"/>
        </w:rPr>
        <w:t xml:space="preserve"> (mes 2-4); (3) Integración con SAP y ruta de reparto (mes 5-6); (4) Piloto en 3 países (mes 7-9); (5) Escalamiento a mercados adicionales (mes 10-11); (6) Capacitación y cierre (mes 12).</w:t>
      </w:r>
    </w:p>
    <w:p w14:paraId="6E9400ED"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Factores críticos de éxito: compromiso del patrocinador, adopción del modelo por parte de la fuerza de ventas, calidad de los datos históricos de pedidos, integración con SAP, aceptación de clientes con baja alfabetización digital.</w:t>
      </w:r>
    </w:p>
    <w:p w14:paraId="3EF46594"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Identificación de los Interesados</w:t>
      </w:r>
    </w:p>
    <w:p w14:paraId="40E9C4BE"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1. </w:t>
      </w:r>
      <w:proofErr w:type="gramStart"/>
      <w:r w:rsidRPr="00EB65DE">
        <w:rPr>
          <w:rFonts w:ascii="Times New Roman" w:hAnsi="Times New Roman" w:cs="Times New Roman"/>
          <w:sz w:val="24"/>
          <w:szCs w:val="24"/>
          <w:lang w:val="es-MX"/>
        </w:rPr>
        <w:t>Vicepresidente</w:t>
      </w:r>
      <w:proofErr w:type="gramEnd"/>
      <w:r w:rsidRPr="00EB65DE">
        <w:rPr>
          <w:rFonts w:ascii="Times New Roman" w:hAnsi="Times New Roman" w:cs="Times New Roman"/>
          <w:sz w:val="24"/>
          <w:szCs w:val="24"/>
          <w:lang w:val="es-MX"/>
        </w:rPr>
        <w:t xml:space="preserve"> Global de Ventas (patrocinador) - Interno, alto poder, alto interés. 2. </w:t>
      </w:r>
      <w:proofErr w:type="gramStart"/>
      <w:r w:rsidRPr="00EB65DE">
        <w:rPr>
          <w:rFonts w:ascii="Times New Roman" w:hAnsi="Times New Roman" w:cs="Times New Roman"/>
          <w:sz w:val="24"/>
          <w:szCs w:val="24"/>
          <w:lang w:val="es-MX"/>
        </w:rPr>
        <w:t>Director</w:t>
      </w:r>
      <w:proofErr w:type="gramEnd"/>
      <w:r w:rsidRPr="00EB65DE">
        <w:rPr>
          <w:rFonts w:ascii="Times New Roman" w:hAnsi="Times New Roman" w:cs="Times New Roman"/>
          <w:sz w:val="24"/>
          <w:szCs w:val="24"/>
          <w:lang w:val="es-MX"/>
        </w:rPr>
        <w:t xml:space="preserve"> de Transformación Digital Comercial - Interno, alto poder, alto interés. 3. Gerentes Regionales de Ventas - Interno, alto poder, medio interés. 4. Representantes de ventas en campo - Interno, medio poder, alto interés. 5. Clientes B2B (tiendas, bares, restaurantes) - Externo, bajo poder, alto interés. 6. Equipo de TI y Data </w:t>
      </w:r>
      <w:proofErr w:type="spellStart"/>
      <w:r w:rsidRPr="00EB65DE">
        <w:rPr>
          <w:rFonts w:ascii="Times New Roman" w:hAnsi="Times New Roman" w:cs="Times New Roman"/>
          <w:sz w:val="24"/>
          <w:szCs w:val="24"/>
          <w:lang w:val="es-MX"/>
        </w:rPr>
        <w:t>Science</w:t>
      </w:r>
      <w:proofErr w:type="spellEnd"/>
      <w:r w:rsidRPr="00EB65DE">
        <w:rPr>
          <w:rFonts w:ascii="Times New Roman" w:hAnsi="Times New Roman" w:cs="Times New Roman"/>
          <w:sz w:val="24"/>
          <w:szCs w:val="24"/>
          <w:lang w:val="es-MX"/>
        </w:rPr>
        <w:t xml:space="preserve"> - Interno, medio poder, alto interés. 7. Socios embotelladores - Externo, alto poder, medio interés. 8. Proveedores de tecnología de IA (Microsoft, Salesforce) - Externo, medio poder, medio interés. 9. Accionistas e inversores - Externo, alto poder, medio interés. 10. Reguladores de protección de datos - Externo, alto poder, bajo interés. 11. Sindicatos de la fuerza de ventas - Interno, bajo poder, medio interés. 12. Competidores (PepsiCo, AB InBev) - Externo, bajo poder, bajo interés.</w:t>
      </w:r>
    </w:p>
    <w:p w14:paraId="632D8F07"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Matriz de Poder-Interés</w:t>
      </w:r>
    </w:p>
    <w:p w14:paraId="65D4EFDC"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Alto poder - Alto interés (gestionar atentamente): VP de Ventas, </w:t>
      </w:r>
      <w:proofErr w:type="gramStart"/>
      <w:r w:rsidRPr="00EB65DE">
        <w:rPr>
          <w:rFonts w:ascii="Times New Roman" w:hAnsi="Times New Roman" w:cs="Times New Roman"/>
          <w:sz w:val="24"/>
          <w:szCs w:val="24"/>
          <w:lang w:val="es-MX"/>
        </w:rPr>
        <w:t>Director</w:t>
      </w:r>
      <w:proofErr w:type="gramEnd"/>
      <w:r w:rsidRPr="00EB65DE">
        <w:rPr>
          <w:rFonts w:ascii="Times New Roman" w:hAnsi="Times New Roman" w:cs="Times New Roman"/>
          <w:sz w:val="24"/>
          <w:szCs w:val="24"/>
          <w:lang w:val="es-MX"/>
        </w:rPr>
        <w:t xml:space="preserve"> de Transformación Digital, gerentes regionales. Alto poder - Bajo interés (mantener satisfechos): socios embotelladores, reguladores de datos. Bajo poder - Alto interés (mantener informados): representantes de ventas, clientes B2B, equipo de TI. Bajo poder - Bajo interés (monitorear): competidores, proveedores de tecnología.</w:t>
      </w:r>
    </w:p>
    <w:p w14:paraId="3502AF7A"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lastRenderedPageBreak/>
        <w:t>Matriz de Rastreabilidad Preliminar</w:t>
      </w:r>
    </w:p>
    <w:p w14:paraId="4312AC05"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Req-01 (Motor de recomendación de IA) -&gt; OE2 (Transformación digital) -&gt; Módulo de IA predictiva. Req-02 (Asistente conversacional) -&gt; OE2 -&gt; Integración WhatsApp/</w:t>
      </w:r>
      <w:proofErr w:type="gramStart"/>
      <w:r w:rsidRPr="00EB65DE">
        <w:rPr>
          <w:rFonts w:ascii="Times New Roman" w:hAnsi="Times New Roman" w:cs="Times New Roman"/>
          <w:sz w:val="24"/>
          <w:szCs w:val="24"/>
          <w:lang w:val="es-MX"/>
        </w:rPr>
        <w:t>app</w:t>
      </w:r>
      <w:proofErr w:type="gramEnd"/>
      <w:r w:rsidRPr="00EB65DE">
        <w:rPr>
          <w:rFonts w:ascii="Times New Roman" w:hAnsi="Times New Roman" w:cs="Times New Roman"/>
          <w:sz w:val="24"/>
          <w:szCs w:val="24"/>
          <w:lang w:val="es-MX"/>
        </w:rPr>
        <w:t xml:space="preserve">. Req-03 (Integración SAP) -&gt; OE5 (Excelencia operativa) -&gt; </w:t>
      </w:r>
      <w:proofErr w:type="spellStart"/>
      <w:r w:rsidRPr="00EB65DE">
        <w:rPr>
          <w:rFonts w:ascii="Times New Roman" w:hAnsi="Times New Roman" w:cs="Times New Roman"/>
          <w:sz w:val="24"/>
          <w:szCs w:val="24"/>
          <w:lang w:val="es-MX"/>
        </w:rPr>
        <w:t>APIs</w:t>
      </w:r>
      <w:proofErr w:type="spellEnd"/>
      <w:r w:rsidRPr="00EB65DE">
        <w:rPr>
          <w:rFonts w:ascii="Times New Roman" w:hAnsi="Times New Roman" w:cs="Times New Roman"/>
          <w:sz w:val="24"/>
          <w:szCs w:val="24"/>
          <w:lang w:val="es-MX"/>
        </w:rPr>
        <w:t xml:space="preserve">. Req-04 (Panel de ventas) -&gt; OE5 -&gt; Dashboard comercial. Req-05 (Detección de quiebres de stock) -&gt; OE5 -&gt; Módulo de inventario. Req-06 (Promociones y precios dinámicos) -&gt; OE4 (Crecimiento en mercados emergentes) -&gt; Motor de </w:t>
      </w:r>
      <w:proofErr w:type="spellStart"/>
      <w:r w:rsidRPr="00EB65DE">
        <w:rPr>
          <w:rFonts w:ascii="Times New Roman" w:hAnsi="Times New Roman" w:cs="Times New Roman"/>
          <w:sz w:val="24"/>
          <w:szCs w:val="24"/>
          <w:lang w:val="es-MX"/>
        </w:rPr>
        <w:t>pricing</w:t>
      </w:r>
      <w:proofErr w:type="spellEnd"/>
      <w:r w:rsidRPr="00EB65DE">
        <w:rPr>
          <w:rFonts w:ascii="Times New Roman" w:hAnsi="Times New Roman" w:cs="Times New Roman"/>
          <w:sz w:val="24"/>
          <w:szCs w:val="24"/>
          <w:lang w:val="es-MX"/>
        </w:rPr>
        <w:t>. Req-07 (Capacitación de la fuerza de ventas) -&gt; OE2 -&gt; Programa de capacitación.</w:t>
      </w:r>
    </w:p>
    <w:p w14:paraId="3E5E0758"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Estructura de Desglose del Trabajo (EDT/WBS)</w:t>
      </w:r>
    </w:p>
    <w:p w14:paraId="384C9868"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1.1 Gestión del Proyecto (1.1.1 Planificación, 1.1.2 Seguimiento, 1.1.3 Cierre)</w:t>
      </w:r>
      <w:r w:rsidRPr="00EB65DE">
        <w:rPr>
          <w:rFonts w:ascii="Times New Roman" w:hAnsi="Times New Roman" w:cs="Times New Roman"/>
          <w:sz w:val="24"/>
          <w:szCs w:val="24"/>
          <w:lang w:val="es-MX"/>
        </w:rPr>
        <w:br/>
        <w:t>1.2 Motor de Recomendación de IA (1.2.1 Recolección y limpieza de datos, 1.2.2 Entrenamiento de modelos, 1.2.3 Validación y pruebas, 1.2.4 Despliegue)</w:t>
      </w:r>
      <w:r w:rsidRPr="00EB65DE">
        <w:rPr>
          <w:rFonts w:ascii="Times New Roman" w:hAnsi="Times New Roman" w:cs="Times New Roman"/>
          <w:sz w:val="24"/>
          <w:szCs w:val="24"/>
          <w:lang w:val="es-MX"/>
        </w:rPr>
        <w:br/>
        <w:t>1.3 Asistente Conversacional (1.3.1 Diseño de flujos conversacionales, 1.3.2 Integración WhatsApp Business API, 1.3.3 Pruebas de lenguaje natural)</w:t>
      </w:r>
      <w:r w:rsidRPr="00EB65DE">
        <w:rPr>
          <w:rFonts w:ascii="Times New Roman" w:hAnsi="Times New Roman" w:cs="Times New Roman"/>
          <w:sz w:val="24"/>
          <w:szCs w:val="24"/>
          <w:lang w:val="es-MX"/>
        </w:rPr>
        <w:br/>
        <w:t xml:space="preserve">1.4 Integración con Sistemas Existentes (1.4.1 Integración SAP ERP, 1.4.2 Integración ruta de reparto, 1.4.3 Integración con </w:t>
      </w:r>
      <w:proofErr w:type="spellStart"/>
      <w:r w:rsidRPr="00EB65DE">
        <w:rPr>
          <w:rFonts w:ascii="Times New Roman" w:hAnsi="Times New Roman" w:cs="Times New Roman"/>
          <w:sz w:val="24"/>
          <w:szCs w:val="24"/>
          <w:lang w:val="es-MX"/>
        </w:rPr>
        <w:t>myCoke</w:t>
      </w:r>
      <w:proofErr w:type="spellEnd"/>
      <w:r w:rsidRPr="00EB65DE">
        <w:rPr>
          <w:rFonts w:ascii="Times New Roman" w:hAnsi="Times New Roman" w:cs="Times New Roman"/>
          <w:sz w:val="24"/>
          <w:szCs w:val="24"/>
          <w:lang w:val="es-MX"/>
        </w:rPr>
        <w:t>/eB2B)</w:t>
      </w:r>
      <w:r w:rsidRPr="00EB65DE">
        <w:rPr>
          <w:rFonts w:ascii="Times New Roman" w:hAnsi="Times New Roman" w:cs="Times New Roman"/>
          <w:sz w:val="24"/>
          <w:szCs w:val="24"/>
          <w:lang w:val="es-MX"/>
        </w:rPr>
        <w:br/>
        <w:t xml:space="preserve">1.5 Panel de Ventas y Analítica (1.5.1 Diseño de </w:t>
      </w:r>
      <w:proofErr w:type="spellStart"/>
      <w:r w:rsidRPr="00EB65DE">
        <w:rPr>
          <w:rFonts w:ascii="Times New Roman" w:hAnsi="Times New Roman" w:cs="Times New Roman"/>
          <w:sz w:val="24"/>
          <w:szCs w:val="24"/>
          <w:lang w:val="es-MX"/>
        </w:rPr>
        <w:t>dashboards</w:t>
      </w:r>
      <w:proofErr w:type="spellEnd"/>
      <w:r w:rsidRPr="00EB65DE">
        <w:rPr>
          <w:rFonts w:ascii="Times New Roman" w:hAnsi="Times New Roman" w:cs="Times New Roman"/>
          <w:sz w:val="24"/>
          <w:szCs w:val="24"/>
          <w:lang w:val="es-MX"/>
        </w:rPr>
        <w:t xml:space="preserve">, 1.5.2 </w:t>
      </w:r>
      <w:proofErr w:type="spellStart"/>
      <w:r w:rsidRPr="00EB65DE">
        <w:rPr>
          <w:rFonts w:ascii="Times New Roman" w:hAnsi="Times New Roman" w:cs="Times New Roman"/>
          <w:sz w:val="24"/>
          <w:szCs w:val="24"/>
          <w:lang w:val="es-MX"/>
        </w:rPr>
        <w:t>KPIs</w:t>
      </w:r>
      <w:proofErr w:type="spellEnd"/>
      <w:r w:rsidRPr="00EB65DE">
        <w:rPr>
          <w:rFonts w:ascii="Times New Roman" w:hAnsi="Times New Roman" w:cs="Times New Roman"/>
          <w:sz w:val="24"/>
          <w:szCs w:val="24"/>
          <w:lang w:val="es-MX"/>
        </w:rPr>
        <w:t xml:space="preserve"> comerciales, 1.5.3 Alertas automatizadas)</w:t>
      </w:r>
      <w:r w:rsidRPr="00EB65DE">
        <w:rPr>
          <w:rFonts w:ascii="Times New Roman" w:hAnsi="Times New Roman" w:cs="Times New Roman"/>
          <w:sz w:val="24"/>
          <w:szCs w:val="24"/>
          <w:lang w:val="es-MX"/>
        </w:rPr>
        <w:br/>
        <w:t xml:space="preserve">1.6 Capacitación y Cambio (1.6.1 Materiales, 1.6.2 Talleres para fuerza de ventas, 1.6.3 Soporte </w:t>
      </w:r>
      <w:proofErr w:type="spellStart"/>
      <w:r w:rsidRPr="00EB65DE">
        <w:rPr>
          <w:rFonts w:ascii="Times New Roman" w:hAnsi="Times New Roman" w:cs="Times New Roman"/>
          <w:sz w:val="24"/>
          <w:szCs w:val="24"/>
          <w:lang w:val="es-MX"/>
        </w:rPr>
        <w:t>post-implementación</w:t>
      </w:r>
      <w:proofErr w:type="spellEnd"/>
      <w:r w:rsidRPr="00EB65DE">
        <w:rPr>
          <w:rFonts w:ascii="Times New Roman" w:hAnsi="Times New Roman" w:cs="Times New Roman"/>
          <w:sz w:val="24"/>
          <w:szCs w:val="24"/>
          <w:lang w:val="es-MX"/>
        </w:rPr>
        <w:t>)</w:t>
      </w:r>
    </w:p>
    <w:p w14:paraId="6D7F94A9"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Diccionario de la EDT - Ejemplos</w:t>
      </w:r>
    </w:p>
    <w:p w14:paraId="52771127"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Ejemplo 1 - ID 1.2.2 Entrenamiento de Modelos de Recomendación: Desarrollo y entrenamiento de modelos de machine </w:t>
      </w:r>
      <w:proofErr w:type="spellStart"/>
      <w:r w:rsidRPr="00EB65DE">
        <w:rPr>
          <w:rFonts w:ascii="Times New Roman" w:hAnsi="Times New Roman" w:cs="Times New Roman"/>
          <w:sz w:val="24"/>
          <w:szCs w:val="24"/>
          <w:lang w:val="es-MX"/>
        </w:rPr>
        <w:t>learning</w:t>
      </w:r>
      <w:proofErr w:type="spellEnd"/>
      <w:r w:rsidRPr="00EB65DE">
        <w:rPr>
          <w:rFonts w:ascii="Times New Roman" w:hAnsi="Times New Roman" w:cs="Times New Roman"/>
          <w:sz w:val="24"/>
          <w:szCs w:val="24"/>
          <w:lang w:val="es-MX"/>
        </w:rPr>
        <w:t xml:space="preserve"> sobre el historial de pedidos para generar sugerencias personalizadas por cliente. Responsable: Líder de Data </w:t>
      </w:r>
      <w:proofErr w:type="spellStart"/>
      <w:r w:rsidRPr="00EB65DE">
        <w:rPr>
          <w:rFonts w:ascii="Times New Roman" w:hAnsi="Times New Roman" w:cs="Times New Roman"/>
          <w:sz w:val="24"/>
          <w:szCs w:val="24"/>
          <w:lang w:val="es-MX"/>
        </w:rPr>
        <w:t>Science</w:t>
      </w:r>
      <w:proofErr w:type="spellEnd"/>
      <w:r w:rsidRPr="00EB65DE">
        <w:rPr>
          <w:rFonts w:ascii="Times New Roman" w:hAnsi="Times New Roman" w:cs="Times New Roman"/>
          <w:sz w:val="24"/>
          <w:szCs w:val="24"/>
          <w:lang w:val="es-MX"/>
        </w:rPr>
        <w:t xml:space="preserve">. Duración: 2 meses. Costo: $650,000. Recursos: 3 data </w:t>
      </w:r>
      <w:proofErr w:type="spellStart"/>
      <w:r w:rsidRPr="00EB65DE">
        <w:rPr>
          <w:rFonts w:ascii="Times New Roman" w:hAnsi="Times New Roman" w:cs="Times New Roman"/>
          <w:sz w:val="24"/>
          <w:szCs w:val="24"/>
          <w:lang w:val="es-MX"/>
        </w:rPr>
        <w:t>scientists</w:t>
      </w:r>
      <w:proofErr w:type="spellEnd"/>
      <w:r w:rsidRPr="00EB65DE">
        <w:rPr>
          <w:rFonts w:ascii="Times New Roman" w:hAnsi="Times New Roman" w:cs="Times New Roman"/>
          <w:sz w:val="24"/>
          <w:szCs w:val="24"/>
          <w:lang w:val="es-MX"/>
        </w:rPr>
        <w:t xml:space="preserve">, 1 ingeniero de ML, infraestructura </w:t>
      </w:r>
      <w:proofErr w:type="spellStart"/>
      <w:r w:rsidRPr="00EB65DE">
        <w:rPr>
          <w:rFonts w:ascii="Times New Roman" w:hAnsi="Times New Roman" w:cs="Times New Roman"/>
          <w:sz w:val="24"/>
          <w:szCs w:val="24"/>
          <w:lang w:val="es-MX"/>
        </w:rPr>
        <w:t>cloud</w:t>
      </w:r>
      <w:proofErr w:type="spellEnd"/>
      <w:r w:rsidRPr="00EB65DE">
        <w:rPr>
          <w:rFonts w:ascii="Times New Roman" w:hAnsi="Times New Roman" w:cs="Times New Roman"/>
          <w:sz w:val="24"/>
          <w:szCs w:val="24"/>
          <w:lang w:val="es-MX"/>
        </w:rPr>
        <w:t>. Criterios: (a) precisión de recomendación &gt;80%; (b) modelo validado con datos de al menos 3 mercados piloto; (c) tiempo de inferencia &lt;1 segundo.</w:t>
      </w:r>
    </w:p>
    <w:p w14:paraId="3CD9E574"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Ejemplo 2 - ID 1.3.2 Integración WhatsApp Business API: Desarrollo de la integración del asistente conversacional con WhatsApp Business API para que los clientes realicen pedidos en lenguaje natural. Responsable: Líder de Desarrollo Conversacional. Duración: 6 semanas. Costo: $220,000. Recursos: 2 desarrolladores </w:t>
      </w:r>
      <w:proofErr w:type="spellStart"/>
      <w:r w:rsidRPr="00EB65DE">
        <w:rPr>
          <w:rFonts w:ascii="Times New Roman" w:hAnsi="Times New Roman" w:cs="Times New Roman"/>
          <w:sz w:val="24"/>
          <w:szCs w:val="24"/>
          <w:lang w:val="es-MX"/>
        </w:rPr>
        <w:t>backend</w:t>
      </w:r>
      <w:proofErr w:type="spellEnd"/>
      <w:r w:rsidRPr="00EB65DE">
        <w:rPr>
          <w:rFonts w:ascii="Times New Roman" w:hAnsi="Times New Roman" w:cs="Times New Roman"/>
          <w:sz w:val="24"/>
          <w:szCs w:val="24"/>
          <w:lang w:val="es-MX"/>
        </w:rPr>
        <w:t xml:space="preserve">, 1 especialista en NLP, 1 QA. Criterios: </w:t>
      </w:r>
      <w:r w:rsidRPr="00EB65DE">
        <w:rPr>
          <w:rFonts w:ascii="Times New Roman" w:hAnsi="Times New Roman" w:cs="Times New Roman"/>
          <w:sz w:val="24"/>
          <w:szCs w:val="24"/>
          <w:lang w:val="es-MX"/>
        </w:rPr>
        <w:lastRenderedPageBreak/>
        <w:t>(a) integración certificada por WhatsApp Business; (b) tasa de comprensión de intención &gt;85%; (c) tiempo de respuesta &lt;3 segundos.</w:t>
      </w:r>
    </w:p>
    <w:p w14:paraId="0E445648" w14:textId="77777777" w:rsidR="0045072E" w:rsidRPr="00EB65DE" w:rsidRDefault="00000000">
      <w:pPr>
        <w:pStyle w:val="Ttulo2"/>
        <w:rPr>
          <w:szCs w:val="24"/>
          <w:sz w:val="24"/>
          <w:rFonts w:ascii="Times New Roman" w:hAnsi="Times New Roman" w:cs="Times New Roman"/>
          <w:lang w:val="es-MX"/>
        </w:rPr>
      </w:pPr>
      <w:r w:rsidRPr="00EB65DE">
        <w:rPr>
          <w:szCs w:val="24"/>
          <w:sz w:val="24"/>
          <w:rFonts w:ascii="Times New Roman" w:hAnsi="Times New Roman"/>
          <w:lang w:val="es-MX"/>
        </w:rPr>
        <w:t>Enunciado del Alcance</w:t>
      </w:r>
    </w:p>
    <w:p w14:paraId="6EAEB20A"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El proyecto consiste en diseñar, desarrollar e implementar un sistema de ventas B2B con automatización e inteligencia artificial para The Coca-Cola Company, dirigido a clientes del canal tradicional (tiendas de barrio, bares, restaurantes y pequeños supermercados), que genere recomendaciones de pedido personalizadas, automatice la captura de pedidos mediante un asistente conversacional y apoye a la fuerza de ventas con información en tiempo real.</w:t>
      </w:r>
    </w:p>
    <w:p w14:paraId="3EF11814"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Incluye: (a) motor de recomendación de IA basado en historial de compra y estacionalidad; (b) asistente conversacional integrado a WhatsApp y </w:t>
      </w:r>
      <w:proofErr w:type="gramStart"/>
      <w:r w:rsidRPr="00EB65DE">
        <w:rPr>
          <w:rFonts w:ascii="Times New Roman" w:hAnsi="Times New Roman" w:cs="Times New Roman"/>
          <w:sz w:val="24"/>
          <w:szCs w:val="24"/>
          <w:lang w:val="es-MX"/>
        </w:rPr>
        <w:t>app</w:t>
      </w:r>
      <w:proofErr w:type="gramEnd"/>
      <w:r w:rsidRPr="00EB65DE">
        <w:rPr>
          <w:rFonts w:ascii="Times New Roman" w:hAnsi="Times New Roman" w:cs="Times New Roman"/>
          <w:sz w:val="24"/>
          <w:szCs w:val="24"/>
          <w:lang w:val="es-MX"/>
        </w:rPr>
        <w:t xml:space="preserve"> móvil; (c) integración con SAP ERP y sistemas de ruta de reparto; (d) panel de analítica comercial para representantes y gerentes; (e) módulo de detección de quiebres de stock y reposición sugerida; (f) capacitación a la fuerza de ventas en 3 países piloto.</w:t>
      </w:r>
    </w:p>
    <w:p w14:paraId="42358737"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 xml:space="preserve">Excluye: (a) rediseño de la plataforma </w:t>
      </w:r>
      <w:proofErr w:type="spellStart"/>
      <w:r w:rsidRPr="00EB65DE">
        <w:rPr>
          <w:rFonts w:ascii="Times New Roman" w:hAnsi="Times New Roman" w:cs="Times New Roman"/>
          <w:sz w:val="24"/>
          <w:szCs w:val="24"/>
          <w:lang w:val="es-MX"/>
        </w:rPr>
        <w:t>myCoke</w:t>
      </w:r>
      <w:proofErr w:type="spellEnd"/>
      <w:r w:rsidRPr="00EB65DE">
        <w:rPr>
          <w:rFonts w:ascii="Times New Roman" w:hAnsi="Times New Roman" w:cs="Times New Roman"/>
          <w:sz w:val="24"/>
          <w:szCs w:val="24"/>
          <w:lang w:val="es-MX"/>
        </w:rPr>
        <w:t>/eB2B existente; (b) automatización de procesos de manufactura o distribución física; (c) sistemas de pago o facturación electrónica (se integra con los existentes, no se reemplazan); (d) implementación fuera de los 3 países piloto en esta fase.</w:t>
      </w:r>
    </w:p>
    <w:p w14:paraId="1A911B8E"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Criterios de aceptación: (a) al menos 70% de los clientes piloto utilizando el asistente conversacional para realizar pedidos; (b) incremento de al menos 10% en la frecuencia de pedido de los clientes piloto; (c) integración funcional con SAP en los 3 países piloto; (d) precisión de recomendación de pedido superior al 80%; (e) 90% de los representantes de ventas capacitados aprueban la evaluación.</w:t>
      </w:r>
    </w:p>
    <w:p w14:paraId="4BDAD081" w14:textId="77777777" w:rsidR="0045072E" w:rsidRPr="00EB65DE" w:rsidRDefault="00000000">
      <w:pPr>
        <w:pStyle w:val="Ttulo1"/>
        <w:rPr>
          <w:szCs w:val="24"/>
          <w:sz w:val="24"/>
          <w:rFonts w:ascii="Times New Roman" w:hAnsi="Times New Roman" w:cs="Times New Roman"/>
          <w:lang w:val="es-MX"/>
        </w:rPr>
      </w:pPr>
      <w:r w:rsidRPr="00EB65DE">
        <w:rPr>
          <w:szCs w:val="24"/>
          <w:sz w:val="24"/>
          <w:rFonts w:ascii="Times New Roman" w:hAnsi="Times New Roman"/>
          <w:lang w:val="es-MX"/>
        </w:rPr>
        <w:t>Conclusiones Generales</w:t>
      </w:r>
    </w:p>
    <w:p w14:paraId="247DCE5D"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t>El presente proyecto integra los cinco entregables de la asignatura Técnicas de Formulación de Proyectos, desarrollando una propuesta completa para la implementación de un Sistema de Ventas B2B con Automatización e Inteligencia Artificial en The Coca-Cola Company. Se definió el alineamiento estratégico con mejoras a la misión y visión, se realizaron los análisis externo e interno, se identificaron objetivos estratégicos y necesidades de TI, se realizó un estudio de mercado, técnico y legal, y se completó la documentación de gestión del proyecto incluyendo acta de constitución, identificación de interesados, EDT y enunciado del alcance.</w:t>
      </w:r>
    </w:p>
    <w:p w14:paraId="09629609" w14:textId="77777777" w:rsidR="0045072E" w:rsidRPr="00EB65DE" w:rsidRDefault="00000000">
      <w:pPr>
        <w:ind w:firstLine="720"/>
        <w:rPr>
          <w:rFonts w:ascii="Times New Roman" w:hAnsi="Times New Roman" w:cs="Times New Roman"/>
          <w:sz w:val="24"/>
          <w:szCs w:val="24"/>
          <w:lang w:val="es-MX"/>
        </w:rPr>
        <w:spacing w:line="360" w:lineRule="auto" w:before="0" w:after="0"/>
        <w:jc w:val="left"/>
      </w:pPr>
      <w:r w:rsidRPr="00EB65DE">
        <w:rPr>
          <w:rFonts w:ascii="Times New Roman" w:hAnsi="Times New Roman" w:cs="Times New Roman"/>
          <w:sz w:val="24"/>
          <w:szCs w:val="24"/>
          <w:lang w:val="es-MX"/>
        </w:rPr>
        <w:lastRenderedPageBreak/>
        <w:t>El proyecto aborda la necesidad de Coca-Cola de escalar y potenciar la digitalización de su canal tradicional de ventas (tiendas de barrio, bares y restaurantes), aprovechando una capacidad que la empresa ya ha probado en mercados como Latinoamérica e India, donde los pedidos sugeridos por IA están impulsando crecimiento. A diferencia de proyectos de sostenibilidad con retorno financiero negativo, este proyecto presenta un VAN positivo en el horizonte de 5 años, por lo que se justifica tanto financiera como estratégicamente.</w:t>
      </w:r>
    </w:p>
    <w:p w14:paraId="26229F5A" w14:textId="77777777" w:rsidR="0045072E" w:rsidRDefault="00000000">
      <w:pPr>
        <w:pStyle w:val="Ttulo1"/>
      </w:pPr>
      <w:proofErr w:type="spellStart"/>
      <w:r>
        <w:rPr>
          <w:szCs w:val="24"/>
          <w:sz w:val="24"/>
          <w:rFonts w:ascii="Times New Roman" w:hAnsi="Times New Roman"/>
        </w:rPr>
        <w:t>Referencias</w:t>
      </w:r>
      <w:proofErr w:type="spellEnd"/>
    </w:p>
    <w:p w14:paraId="19480F7F" w14:textId="77777777" w:rsidR="0045072E" w:rsidRDefault="00000000">
      <w:pPr>
        <w:ind w:left="720" w:hanging="720"/>
        <w:spacing w:line="360" w:lineRule="auto" w:before="0" w:after="0"/>
        <w:jc w:val="left"/>
      </w:pPr>
      <w:r>
        <w:rPr>
          <w:rFonts w:ascii="Times New Roman" w:hAnsi="Times New Roman" w:cs="Times New Roman"/>
          <w:sz w:val="24"/>
          <w:szCs w:val="24"/>
        </w:rPr>
        <w:t>Business Model Analyst. (2025). Coca-Cola mission and vision statement. https://businessmodelanalyst.com/coca-cola-mission-and-vision-statement/</w:t>
      </w:r>
    </w:p>
    <w:p w14:paraId="7C873FC5" w14:textId="77777777" w:rsidR="0045072E" w:rsidRDefault="00000000">
      <w:pPr>
        <w:ind w:left="720" w:hanging="720"/>
        <w:spacing w:line="360" w:lineRule="auto" w:before="0" w:after="0"/>
        <w:jc w:val="left"/>
      </w:pPr>
      <w:r>
        <w:rPr>
          <w:rFonts w:ascii="Times New Roman" w:hAnsi="Times New Roman" w:cs="Times New Roman"/>
          <w:sz w:val="24"/>
          <w:szCs w:val="24"/>
        </w:rPr>
        <w:t>Coca-Cola Europacific Partners. (2025). 2024 annual report. https://www.cocacolaep.com/assets/Global/Investors/2024-Annual-Report/2024-CCEP-Annual-Report_2025.03.20_Interactive.pdf</w:t>
      </w:r>
    </w:p>
    <w:p w14:paraId="6BA65117" w14:textId="77777777" w:rsidR="0045072E" w:rsidRDefault="00000000">
      <w:pPr>
        <w:ind w:left="720" w:hanging="720"/>
        <w:spacing w:line="360" w:lineRule="auto" w:before="0" w:after="0"/>
        <w:jc w:val="left"/>
      </w:pPr>
      <w:r>
        <w:rPr>
          <w:rFonts w:ascii="Times New Roman" w:hAnsi="Times New Roman" w:cs="Times New Roman"/>
          <w:sz w:val="24"/>
          <w:szCs w:val="24"/>
        </w:rPr>
        <w:t>Comparably. (2025). The Coca-Cola Company mission, vision &amp; values. https://www.comparably.com/companies/the-coca-cola-company/mission</w:t>
      </w:r>
    </w:p>
    <w:p w14:paraId="6681C82E" w14:textId="77777777" w:rsidR="0045072E" w:rsidRDefault="00000000">
      <w:pPr>
        <w:ind w:left="720" w:hanging="720"/>
        <w:spacing w:line="360" w:lineRule="auto" w:before="0" w:after="0"/>
        <w:jc w:val="left"/>
      </w:pPr>
      <w:r>
        <w:rPr>
          <w:rFonts w:ascii="Times New Roman" w:hAnsi="Times New Roman" w:cs="Times New Roman"/>
          <w:sz w:val="24"/>
          <w:szCs w:val="24"/>
        </w:rPr>
        <w:t>The Coca-Cola Company. (2024). Coca-Cola reports first quarter 2024 results and provides updated guidance. https://investors.coca-colacompany.com/news-events/press-releases/detail/1107/coca-cola-reports-first-quarter-2024-results-and-provides-updated-guidance</w:t>
      </w:r>
    </w:p>
    <w:p w14:paraId="1BE96B0C" w14:textId="77777777" w:rsidR="0045072E" w:rsidRDefault="00000000">
      <w:pPr>
        <w:ind w:left="720" w:hanging="720"/>
        <w:spacing w:line="360" w:lineRule="auto" w:before="0" w:after="0"/>
        <w:jc w:val="left"/>
      </w:pPr>
      <w:r>
        <w:rPr>
          <w:rFonts w:ascii="Times New Roman" w:hAnsi="Times New Roman" w:cs="Times New Roman"/>
          <w:sz w:val="24"/>
          <w:szCs w:val="24"/>
        </w:rPr>
        <w:t>AB InBev. (2023). Three for BEES: Inside our digital "hive" that helps retail businesses thrive. https://www.ab-inbev.com/news-media/news-stories/three-for-bees-article</w:t>
      </w:r>
    </w:p>
    <w:p w14:paraId="64BC7922" w14:textId="77777777" w:rsidR="0045072E" w:rsidRDefault="00000000">
      <w:pPr>
        <w:ind w:left="720" w:hanging="720"/>
        <w:spacing w:line="360" w:lineRule="auto" w:before="0" w:after="0"/>
        <w:jc w:val="left"/>
      </w:pPr>
      <w:r>
        <w:rPr>
          <w:rFonts w:ascii="Times New Roman" w:hAnsi="Times New Roman" w:cs="Times New Roman"/>
          <w:sz w:val="24"/>
          <w:szCs w:val="24"/>
        </w:rPr>
        <w:t>Grand View Research. (2023). Sales force automation software market size, share &amp; trends analysis report, 2023-2030. https://www.grandviewresearch.com/industry-analysis/sales-force-automation-software-market</w:t>
      </w:r>
    </w:p>
    <w:p w14:paraId="2D7FFC06" w14:textId="77777777" w:rsidR="0045072E" w:rsidRDefault="00000000">
      <w:pPr>
        <w:ind w:left="720" w:hanging="720"/>
        <w:spacing w:line="360" w:lineRule="auto" w:before="0" w:after="0"/>
        <w:jc w:val="left"/>
      </w:pPr>
      <w:r>
        <w:rPr>
          <w:rFonts w:ascii="Times New Roman" w:hAnsi="Times New Roman" w:cs="Times New Roman"/>
          <w:sz w:val="24"/>
          <w:szCs w:val="24"/>
        </w:rPr>
        <w:t>Mani, R. N. (2024). From Freestyle to future: Coca-Cola leads with digital, AI. CIO.inc. https://www.cio.inc/from-freestyle-to-future-coca-cola-leads-digital-ai-a-26016</w:t>
      </w:r>
    </w:p>
    <w:p w14:paraId="21F43086" w14:textId="77777777" w:rsidR="0045072E" w:rsidRDefault="00000000">
      <w:pPr>
        <w:ind w:left="720" w:hanging="720"/>
        <w:spacing w:line="360" w:lineRule="auto" w:before="0" w:after="0"/>
        <w:jc w:val="left"/>
      </w:pPr>
      <w:r>
        <w:rPr>
          <w:rFonts w:ascii="Times New Roman" w:hAnsi="Times New Roman" w:cs="Times New Roman"/>
          <w:sz w:val="24"/>
          <w:szCs w:val="24"/>
        </w:rPr>
        <w:t>Panmore Institute. (2024). Coca-Cola's mission statement &amp; vision statement: An analysis. https://panmore.com/coca-cola-mission-statement-vision-statement-analysis-case-study</w:t>
      </w:r>
    </w:p>
    <w:p w14:paraId="2FF63CF4" w14:textId="77777777" w:rsidR="0045072E" w:rsidRDefault="00000000">
      <w:pPr>
        <w:ind w:left="720" w:hanging="720"/>
        <w:spacing w:line="360" w:lineRule="auto" w:before="0" w:after="0"/>
        <w:jc w:val="left"/>
      </w:pPr>
      <w:r>
        <w:rPr>
          <w:rFonts w:ascii="Times New Roman" w:hAnsi="Times New Roman" w:cs="Times New Roman"/>
          <w:sz w:val="24"/>
          <w:szCs w:val="24"/>
        </w:rPr>
        <w:t>Pestel-analysis.com. (2025). What are mission vision &amp; core values of Coca-Cola Company? https://pestel-analysis.com/blogs/mission/coca-colacompany</w:t>
      </w:r>
    </w:p>
    <w:p w14:paraId="148D1FEE" w14:textId="77777777" w:rsidR="0045072E" w:rsidRDefault="00000000">
      <w:pPr>
        <w:ind w:left="720" w:hanging="720"/>
        <w:spacing w:line="360" w:lineRule="auto" w:before="0" w:after="0"/>
        <w:jc w:val="left"/>
      </w:pPr>
      <w:r>
        <w:rPr>
          <w:rFonts w:ascii="Times New Roman" w:hAnsi="Times New Roman" w:cs="Times New Roman"/>
          <w:sz w:val="24"/>
          <w:szCs w:val="24"/>
        </w:rPr>
        <w:t>The Coca-Cola Company. (s.f.). Purpose &amp; vision. https://www.coca-colacompany.com/about-us/purpose-and-vision</w:t>
      </w:r>
    </w:p>
    <w:p w14:paraId="050EA549" w14:textId="77777777" w:rsidR="0045072E" w:rsidRDefault="00000000">
      <w:pPr>
        <w:ind w:left="720" w:hanging="720"/>
        <w:spacing w:line="360" w:lineRule="auto" w:before="0" w:after="0"/>
        <w:jc w:val="left"/>
      </w:pPr>
      <w:r>
        <w:rPr>
          <w:rFonts w:ascii="Times New Roman" w:hAnsi="Times New Roman" w:cs="Times New Roman"/>
          <w:sz w:val="24"/>
          <w:szCs w:val="24"/>
        </w:rPr>
        <w:lastRenderedPageBreak/>
        <w:t>The Coca-Cola Company. (2025). Coca-Cola reports fourth quarter and full year 2024 results. https://investors.coca-colacompany.com/news-events/press-releases/detail/1128/coca-cola-reports-fourth-quarter-and-full-year-2024-results</w:t>
      </w:r>
    </w:p>
    <w:p w14:paraId="1DE7A15C" w14:textId="77777777" w:rsidR="0045072E" w:rsidRDefault="00000000">
      <w:pPr>
        <w:ind w:left="720" w:hanging="720"/>
        <w:spacing w:line="360" w:lineRule="auto" w:before="0" w:after="0"/>
        <w:jc w:val="left"/>
      </w:pPr>
      <w:r>
        <w:rPr>
          <w:rFonts w:ascii="Times New Roman" w:hAnsi="Times New Roman" w:cs="Times New Roman"/>
          <w:sz w:val="24"/>
          <w:szCs w:val="24"/>
        </w:rPr>
        <w:t>PYMNTS. (2023). Coca-Cola leverages AI personalized recommendations to boost B2B sales. https://www.pymnts.com/news/artificial-intelligence/2023/coca-cola-leverages-ai-personalized-recommendations-boost-b2b-sales/</w:t>
      </w:r>
    </w:p>
    <w:p w14:paraId="5A2616F8" w14:textId="77777777" w:rsidR="0045072E" w:rsidRDefault="00000000">
      <w:pPr>
        <w:ind w:left="720" w:hanging="720"/>
        <w:spacing w:line="360" w:lineRule="auto" w:before="0" w:after="0"/>
        <w:jc w:val="left"/>
      </w:pPr>
      <w:r>
        <w:rPr>
          <w:rFonts w:ascii="Times New Roman" w:hAnsi="Times New Roman" w:cs="Times New Roman"/>
          <w:sz w:val="24"/>
          <w:szCs w:val="24"/>
        </w:rPr>
        <w:t>Consumer Goods Technology. (2025). Coca-Cola B2B platform myCoke gets tech and design overhaul. https://consumergoods.com/coca-cola-b2b-platform-mycoke-gets-tech-and-design-overhaul</w:t>
      </w:r>
    </w:p>
    <w:p w14:paraId="024C0C0D" w14:textId="77777777" w:rsidR="0045072E" w:rsidRDefault="00000000">
      <w:pPr>
        <w:ind w:left="720" w:hanging="720"/>
        <w:spacing w:line="360" w:lineRule="auto" w:before="0" w:after="0"/>
        <w:jc w:val="left"/>
      </w:pPr>
      <w:r>
        <w:rPr>
          <w:rFonts w:ascii="Times New Roman" w:hAnsi="Times New Roman" w:cs="Times New Roman"/>
          <w:sz w:val="24"/>
          <w:szCs w:val="24"/>
        </w:rPr>
        <w:t>Digital Commerce 360. (2026). AB InBev expands BEES B2B platform as volumes decline. https://www.digitalcommerce360.com/article/ab-inbev-bees-b2b-marketplace/</w:t>
      </w:r>
    </w:p>
    <w:p w14:paraId="3A770E0A" w14:textId="77777777" w:rsidR="0045072E" w:rsidRDefault="00000000">
      <w:pPr>
        <w:ind w:left="720" w:hanging="720"/>
        <w:spacing w:line="360" w:lineRule="auto" w:before="0" w:after="0"/>
        <w:jc w:val="left"/>
      </w:pPr>
      <w:r>
        <w:rPr>
          <w:rFonts w:ascii="Times New Roman" w:hAnsi="Times New Roman" w:cs="Times New Roman"/>
          <w:sz w:val="24"/>
          <w:szCs w:val="24"/>
        </w:rPr>
        <w:t>Break Free From Plastic. (2024). Brand audit report. https://www.breakfreefromplastic.org/</w:t>
      </w:r>
    </w:p>
    <w:sectPr w:rsidR="0045072E" w:rsidSect="00034616">
      <w:headerReference w:type="default" r:id="rId9"/>
      <w:pgSz w:w="12240" w:h="15840"/>
      <w:pgMar w:top="1440" w:right="1440" w:bottom="1440" w:left="1440" w:header="720" w:foo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5CBD" w14:textId="77777777" w:rsidR="0048463D" w:rsidRDefault="0048463D">
      <w:pPr>
        <w:spacing w:line="240" w:lineRule="auto"/>
      </w:pPr>
      <w:r>
        <w:separator/>
      </w:r>
    </w:p>
  </w:endnote>
  <w:endnote w:type="continuationSeparator" w:id="0">
    <w:p w14:paraId="0775CF83" w14:textId="77777777" w:rsidR="0048463D" w:rsidRDefault="004846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17BDF" w14:textId="77777777" w:rsidR="0048463D" w:rsidRDefault="0048463D">
      <w:pPr>
        <w:spacing w:line="240" w:lineRule="auto"/>
      </w:pPr>
      <w:r>
        <w:separator/>
      </w:r>
    </w:p>
  </w:footnote>
  <w:footnote w:type="continuationSeparator" w:id="0">
    <w:p w14:paraId="37BFA7FD" w14:textId="77777777" w:rsidR="0048463D" w:rsidRDefault="004846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BE11" w14:textId="265D2985" w:rsidR="0045072E" w:rsidRDefault="0045072E">
    <w:pPr>
      <w:pStyle w:val="Encabezado"/>
      <w:jc w:val="right"/>
    </w:pPr>
  </w:p>
  <w:p>
    <w:pPr>
      <w:jc w:val="right"/>
    </w:pPr>
    <w:r>
      <w:rPr>
        <w:sz w:val="24"/>
        <w:szCs w:val="24"/>
        <w:rFonts w:ascii="Times New Roman" w:hAnsi="Times New Roman" w:cs="Times New Roman"/>
      </w:rPr>
      <w:fldChar w:fldCharType="begin"/>
    </w:r>
    <w:r>
      <w:rPr>
        <w:sz w:val="24"/>
        <w:szCs w:val="24"/>
        <w:rFonts w:ascii="Times New Roman" w:hAnsi="Times New Roman" w:cs="Times New Roman"/>
      </w:rPr>
      <w:instrText> PAGE </w:instrText>
    </w:r>
    <w:r>
      <w:rPr>
        <w:sz w:val="24"/>
        <w:szCs w:val="24"/>
        <w:rFonts w:ascii="Times New Roman" w:hAnsi="Times New Roman" w:cs="Times New Roman"/>
      </w:rPr>
      <w:fldChar w:fldCharType="separate"/>
    </w:r>
    <w:r>
      <w:rPr>
        <w:noProof/>
        <w:sz w:val="24"/>
        <w:szCs w:val="24"/>
        <w:rFonts w:ascii="Times New Roman" w:hAnsi="Times New Roman" w:cs="Times New Roman"/>
      </w:rPr>
      <w:t>1</w:t>
    </w:r>
    <w:r>
      <w:rPr>
        <w:sz w:val="24"/>
        <w:szCs w:val="24"/>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4685483">
    <w:abstractNumId w:val="8"/>
  </w:num>
  <w:num w:numId="2" w16cid:durableId="518085095">
    <w:abstractNumId w:val="6"/>
  </w:num>
  <w:num w:numId="3" w16cid:durableId="1795247380">
    <w:abstractNumId w:val="5"/>
  </w:num>
  <w:num w:numId="4" w16cid:durableId="1083338906">
    <w:abstractNumId w:val="4"/>
  </w:num>
  <w:num w:numId="5" w16cid:durableId="308940109">
    <w:abstractNumId w:val="7"/>
  </w:num>
  <w:num w:numId="6" w16cid:durableId="1728383167">
    <w:abstractNumId w:val="3"/>
  </w:num>
  <w:num w:numId="7" w16cid:durableId="1413771473">
    <w:abstractNumId w:val="2"/>
  </w:num>
  <w:num w:numId="8" w16cid:durableId="1512647317">
    <w:abstractNumId w:val="1"/>
  </w:num>
  <w:num w:numId="9" w16cid:durableId="740716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851"/>
    <w:rsid w:val="0015074B"/>
    <w:rsid w:val="0029639D"/>
    <w:rsid w:val="002C394A"/>
    <w:rsid w:val="00326F90"/>
    <w:rsid w:val="003C6670"/>
    <w:rsid w:val="0045072E"/>
    <w:rsid w:val="0048463D"/>
    <w:rsid w:val="004E42FB"/>
    <w:rsid w:val="006A6B9D"/>
    <w:rsid w:val="00AA1D8D"/>
    <w:rsid w:val="00B47730"/>
    <w:rsid w:val="00CB0664"/>
    <w:rsid w:val="00EB6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72EE2"/>
  <w14:defaultImageDpi w14:val="300"/>
  <w15:docId w15:val="{20E5837E-1B8D-4306-ABD5-A82FA191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before="0" w:after="0"/>
      <w:jc w:val="left"/>
    </w:pPr>
    <w:rPr>
      <w:color w:val="000000"/>
      <w:sz w:val="24"/>
      <w:rFonts w:ascii="Times New Roman" w:hAnsi="Times New Roman" w:cs="Times New Roman"/>
      <w:sz w:val="24"/>
      <w:szCs w:val="24"/>
    </w:rPr>
  </w:style>
  <w:style w:styleId="Ttulo1">
    <w:name w:val="heading 1"/>
    <w:basedOn w:val="Normal"/>
    <w:next w:val="Normal"/>
    <w:link w:val="Ttulo1Car"/>
    <w:uiPriority w:val="9"/>
    <w:qFormat/>
    <w:rsid w:val="00FC693F"/>
    <w:pPr>
      <w:keepNext/>
      <w:keepLines/>
      <w:jc w:val="center"/>
      <w:outlineLvl w:val="0"/>
      <w:spacing w:line="360" w:lineRule="auto" w:before="200" w:after="0"/>
    </w:pPr>
    <w:rPr>
      <w:b/>
      <w:bCs/>
      <w:szCs w:val="28"/>
      <w:rFonts w:ascii="Times New Roman" w:hAnsi="Times New Roman" w:cs="Times New Roman"/>
      <w:sz w:val="24"/>
      <w:szCs w:val="24"/>
    </w:rPr>
  </w:style>
  <w:style w:styleId="Ttulo2">
    <w:name w:val="heading 2"/>
    <w:basedOn w:val="Normal"/>
    <w:next w:val="Normal"/>
    <w:link w:val="Ttulo2Car"/>
    <w:uiPriority w:val="9"/>
    <w:unhideWhenUsed/>
    <w:qFormat/>
    <w:rsid w:val="00FC693F"/>
    <w:pPr>
      <w:keepNext/>
      <w:keepLines/>
      <w:outlineLvl w:val="1"/>
      <w:spacing w:line="360" w:lineRule="auto" w:before="200" w:after="0"/>
    </w:pPr>
    <w:rPr>
      <w:b/>
      <w:bCs/>
      <w:szCs w:val="26"/>
      <w:rFonts w:ascii="Times New Roman" w:hAnsi="Times New Roman" w:cs="Times New Roman"/>
      <w:sz w:val="24"/>
      <w:szCs w:val="24"/>
    </w:rPr>
  </w:style>
  <w:style w:styleId="Ttulo3">
    <w:name w:val="heading 3"/>
    <w:basedOn w:val="Normal"/>
    <w:next w:val="Normal"/>
    <w:link w:val="Ttulo3Car"/>
    <w:uiPriority w:val="9"/>
    <w:unhideWhenUsed/>
    <w:qFormat/>
    <w:rsid w:val="00FC693F"/>
    <w:pPr>
      <w:keepNext/>
      <w:keepLines/>
      <w:outlineLvl w:val="2"/>
      <w:spacing w:line="360" w:lineRule="auto" w:before="200" w:after="0"/>
    </w:pPr>
    <w:rPr>
      <w:b/>
      <w:bCs/>
      <w:i/>
      <w:rFonts w:ascii="Times New Roman" w:hAnsi="Times New Roman" w:cs="Times New Roman"/>
      <w:sz w:val="24"/>
      <w:szCs w:val="24"/>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3984</Words>
  <Characters>22713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BENAVENTE JIMENEZ ROBERTO</cp:lastModifiedBy>
  <cp:revision>3</cp:revision>
  <dcterms:created xsi:type="dcterms:W3CDTF">2026-06-16T23:09:00Z</dcterms:created>
  <dcterms:modified xsi:type="dcterms:W3CDTF">2026-06-17T04:19:00Z</dcterms:modified>
  <cp:category/>
</cp:coreProperties>
</file>