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NexBIAnalytics - Elevator Pitch</w:t>
      </w:r>
    </w:p>
    <w:p>
      <w:pPr>
        <w:jc w:val="center"/>
      </w:pPr>
      <w:r>
        <w:rPr>
          <w:i/>
          <w:sz w:val="24"/>
        </w:rPr>
        <w:t>Guion separado por diapositiva</w:t>
      </w:r>
    </w:p>
    <w:p/>
    <w:p>
      <w:r>
        <w:rPr>
          <w:b/>
        </w:rPr>
        <w:t xml:space="preserve">Duración total: </w:t>
      </w:r>
      <w:r>
        <w:t>3–5 minutos</w:t>
      </w:r>
      <w:r>
        <w:rPr>
          <w:b w:val="0"/>
        </w:rPr>
        <w:t xml:space="preserve">  |  </w:t>
      </w:r>
      <w:r>
        <w:rPr>
          <w:b/>
        </w:rPr>
        <w:t xml:space="preserve">Presentación: </w:t>
      </w:r>
      <w:r>
        <w:t>2 diapositivas</w:t>
      </w:r>
      <w:r>
        <w:rPr>
          <w:b w:val="0"/>
        </w:rPr>
        <w:t xml:space="preserve">  |  </w:t>
      </w:r>
      <w:r>
        <w:rPr>
          <w:b/>
        </w:rPr>
        <w:t xml:space="preserve">Ley: </w:t>
      </w:r>
      <w:r>
        <w:t>N° 8968 PRODHAB</w:t>
      </w:r>
    </w:p>
    <w:p/>
    <w:p>
      <w:pPr>
        <w:pStyle w:val="Heading1"/>
      </w:pPr>
      <w:r>
        <w:t>Diapositiva 1 — Ley N° 8968: Dato Personal vs Dato Sensible</w:t>
      </w:r>
    </w:p>
    <w:p>
      <w:pPr>
        <w:pStyle w:val="Heading2"/>
      </w:pPr>
      <w:r>
        <w:t>① Contexto del caso  (0:00 – 0:30)</w:t>
      </w:r>
    </w:p>
    <w:p>
      <w:r>
        <w:rPr>
          <w:i/>
        </w:rPr>
        <w:t>«Buenos días/tardes. Soy [Nombre] de NexBIAnalytics.</w:t>
        <w:br/>
        <w:br/>
      </w:r>
      <w:r>
        <w:t>Les presento un caso real: una empresa desea implementar un dashboard de BI que cruce tres fuentes de datos: ubicación GPS de los clientes, sus hábitos de compra, y su historial médico. El objetivo es generar patrones predictivos de consumo.</w:t>
        <w:br/>
        <w:br/>
      </w:r>
      <w:r>
        <w:t>Suena útil, pero el abogado de la empresa preguntó: "¿Esto viola la ley de protección de datos?"</w:t>
        <w:br/>
        <w:br/>
      </w:r>
      <w:r>
        <w:rPr>
          <w:i/>
        </w:rPr>
        <w:t>Hoy les explico por qué la respuesta es: depende de cómo se implemente.»</w:t>
        <w:br/>
      </w:r>
    </w:p>
    <w:p>
      <w:r>
        <w:rPr>
          <w:b/>
        </w:rPr>
        <w:t xml:space="preserve">🎬 AVANZAR: </w:t>
      </w:r>
      <w:r>
        <w:t>Al terminar este bloque, pasar a la Diapositiva 1 y señalar el cuadro comparativo.</w:t>
      </w:r>
    </w:p>
    <w:p/>
    <w:p>
      <w:pPr>
        <w:pStyle w:val="Heading2"/>
      </w:pPr>
      <w:r>
        <w:t>② Marco Legal — Dato Personal vs Sensible  (0:30 – 1:30)</w:t>
      </w:r>
    </w:p>
    <w:p>
      <w:r>
        <w:rPr>
          <w:i/>
        </w:rPr>
        <w:t>«Costa Rica tiene la Ley 8968, conocida como Ley PRODHAB. Esta ley divide los datos en dos categorías:</w:t>
        <w:br/>
        <w:br/>
      </w:r>
      <w:r>
        <w:rPr>
          <w:b/>
        </w:rPr>
        <w:t xml:space="preserve">Primero: </w:t>
      </w:r>
      <w:r>
        <w:t>Datos personales (Artículo 3b). Son datos de una persona identificada o identificable. Ejemplos en nuestro caso: la ubicación GPS y los hábitos de compra. Estos se pueden procesar, pero requieren consentimiento informado.</w:t>
        <w:br/>
        <w:br/>
      </w:r>
      <w:r>
        <w:rPr>
          <w:b/>
        </w:rPr>
        <w:t xml:space="preserve">Segundo: </w:t>
      </w:r>
      <w:r>
        <w:t>Datos sensibles (Artículo 3e). Es información del fuero íntimo de la persona. Incluye origen racial, opiniones políticas, convicciones religiosas, y lo que nos importa: información biomédica.</w:t>
        <w:br/>
        <w:br/>
      </w:r>
      <w:r>
        <w:rPr>
          <w:i/>
        </w:rPr>
        <w:t>El Artículo 9.1 es claro: se prohíbe el tratamiento de datos sensibles. Punto. Las excepciones son para fines médicos o interés vital, que no aplican a un dashboard comercial de ventas.»</w:t>
        <w:br/>
      </w:r>
    </w:p>
    <w:p>
      <w:r>
        <w:rPr>
          <w:b/>
        </w:rPr>
        <w:t xml:space="preserve">👉 SEÑALAR: </w:t>
      </w:r>
      <w:r>
        <w:t>En la diapositiva, el lado izquierdo (Dato Personal) y derecho (Dato Sensible). Leer los íconos ✓ y ✗.</w:t>
      </w:r>
    </w:p>
    <w:p/>
    <w:p>
      <w:pPr>
        <w:pStyle w:val="Heading2"/>
      </w:pPr>
      <w:r>
        <w:t>③ Consentimiento Informado  (1:30 – 2:30)</w:t>
      </w:r>
    </w:p>
    <w:p>
      <w:r>
        <w:rPr>
          <w:i/>
        </w:rPr>
        <w:t>«Para los datos personales (GPS y compras), el Artículo 5 exige consentimiento informado.</w:t>
        <w:br/>
        <w:br/>
      </w:r>
      <w:r>
        <w:rPr>
          <w:i/>
        </w:rPr>
        <w:t>¿Qué significa esto? La empresa debe informar al usuario 8 puntos específicos antes de recopilar sus datos:</w:t>
        <w:br/>
        <w:br/>
      </w:r>
    </w:p>
    <w:p>
      <w:pPr>
        <w:pStyle w:val="ListBullet"/>
      </w:pPr>
      <w:r>
        <w:t>a) Quién recopila los datos (la identidad del responsable)</w:t>
      </w:r>
    </w:p>
    <w:p>
      <w:pPr>
        <w:pStyle w:val="ListBullet"/>
      </w:pPr>
      <w:r>
        <w:t>b) Para qué se usarán (la finalidad del tratamiento)</w:t>
      </w:r>
    </w:p>
    <w:p>
      <w:pPr>
        <w:pStyle w:val="ListBullet"/>
      </w:pPr>
      <w:r>
        <w:t>c) Por cuánto tiempo se conservarán</w:t>
      </w:r>
    </w:p>
    <w:p>
      <w:pPr>
        <w:pStyle w:val="ListBullet"/>
      </w:pPr>
      <w:r>
        <w:t>d) Si se compartirán con terceros</w:t>
      </w:r>
    </w:p>
    <w:p>
      <w:pPr>
        <w:pStyle w:val="ListBullet"/>
      </w:pPr>
      <w:r>
        <w:t>e) El carácter obligatorio o facultativo de suministrar los datos</w:t>
      </w:r>
    </w:p>
    <w:p>
      <w:pPr>
        <w:pStyle w:val="ListBullet"/>
      </w:pPr>
      <w:r>
        <w:t>f) Las consecuencias de no suministrarlos</w:t>
      </w:r>
    </w:p>
    <w:p>
      <w:pPr>
        <w:pStyle w:val="ListBullet"/>
      </w:pPr>
      <w:r>
        <w:t>g) Los derechos del titular (acceso, rectificación, cancelación, oposición)</w:t>
      </w:r>
    </w:p>
    <w:p>
      <w:pPr>
        <w:pStyle w:val="ListBullet"/>
      </w:pPr>
      <w:r>
        <w:t>h) Los mecanismos para ejercer esos derechos</w:t>
      </w:r>
    </w:p>
    <w:p>
      <w:r>
        <w:rPr>
          <w:i/>
        </w:rPr>
        <w:t>El consentimiento debe ser: libre, específico, informado, e inequívoco. Debe constar por escrito, físico o electrónico. Y es revocable en cualquier momento.»</w:t>
        <w:br/>
      </w:r>
    </w:p>
    <w:p>
      <w:r>
        <w:rPr>
          <w:b/>
        </w:rPr>
        <w:t xml:space="preserve">🎬 AVANZAR: </w:t>
      </w:r>
      <w:r>
        <w:t>Al terminar el bloque de consentimiento, pasar a la Diapositiva 2.</w:t>
      </w:r>
    </w:p>
    <w:p/>
    <w:p>
      <w:pPr>
        <w:pStyle w:val="Heading1"/>
      </w:pPr>
      <w:r>
        <w:t>Diapositiva 2 — Solución de Cumplimiento</w:t>
      </w:r>
    </w:p>
    <w:p>
      <w:pPr>
        <w:pStyle w:val="Heading2"/>
      </w:pPr>
      <w:r>
        <w:t>④ Solución Tecnológica  (2:30 – 3:30)</w:t>
      </w:r>
    </w:p>
    <w:p>
      <w:r>
        <w:rPr>
          <w:i/>
        </w:rPr>
        <w:t>«Nuestra propuesta: dos pipelines de datos separados.</w:t>
        <w:br/>
        <w:br/>
      </w:r>
      <w:r>
        <w:rPr>
          <w:b/>
        </w:rPr>
        <w:t xml:space="preserve">Pipeline A — Datos Personales: </w:t>
      </w:r>
      <w:r>
        <w:t>GPS y hábitos de compra. Estos pasan por un flujo de: consentimiento informado → captura → ETL → dashboard. Cada paso tiene controles de auditoría.</w:t>
        <w:br/>
        <w:br/>
      </w:r>
      <w:r>
        <w:rPr>
          <w:b/>
        </w:rPr>
        <w:t xml:space="preserve">Pipeline B — Datos Sensibles: </w:t>
      </w:r>
      <w:r>
        <w:t>el historial médico. Nuestra recomendación es eliminarlo completamente del BI comercial. No puede procesarse, no puede almacenarse, no puede visualizarse. El riesgo legal es demasiado alto.</w:t>
        <w:br/>
        <w:br/>
      </w:r>
      <w:r>
        <w:rPr>
          <w:i/>
        </w:rPr>
        <w:t>Si el cliente insiste en incluir datos médicos, la única vía legal sería obtener una autorización expresa de PRODHAB o rediseñar el proyecto para fines exclusivamente académicos o de salud pública.»</w:t>
        <w:br/>
      </w:r>
    </w:p>
    <w:p>
      <w:r>
        <w:rPr>
          <w:b/>
        </w:rPr>
        <w:t xml:space="preserve">👉 SEÑALAR: </w:t>
      </w:r>
      <w:r>
        <w:t>En la diapositiva, el diagrama de Pipeline A (flecha verde) y Pipeline B (tachado).</w:t>
      </w:r>
    </w:p>
    <w:p/>
    <w:p>
      <w:pPr>
        <w:pStyle w:val="Heading2"/>
      </w:pPr>
      <w:r>
        <w:t>⑤ Seguridad y Registro  (3:30 – 4:30)</w:t>
      </w:r>
    </w:p>
    <w:p>
      <w:r>
        <w:rPr>
          <w:i/>
        </w:rPr>
        <w:t>«El Artículo 10 exige medidas de seguridad técnicas y organizativas para proteger los datos personales. En nuestra solución:</w:t>
        <w:br/>
        <w:br/>
      </w:r>
    </w:p>
    <w:p>
      <w:pPr>
        <w:pStyle w:val="ListBullet"/>
      </w:pPr>
      <w:r>
        <w:t>Cifrado AES-256 en reposo y TLS 1.3 en tránsito</w:t>
      </w:r>
    </w:p>
    <w:p>
      <w:pPr>
        <w:pStyle w:val="ListBullet"/>
      </w:pPr>
      <w:r>
        <w:t>Control de acceso basado en roles (RBAC)</w:t>
      </w:r>
    </w:p>
    <w:p>
      <w:pPr>
        <w:pStyle w:val="ListBullet"/>
      </w:pPr>
      <w:r>
        <w:t>Registro de accesos y auditoría continua</w:t>
      </w:r>
    </w:p>
    <w:p>
      <w:pPr>
        <w:pStyle w:val="ListBullet"/>
      </w:pPr>
      <w:r>
        <w:t>Evaluación anual de vulnerabilidades</w:t>
      </w:r>
    </w:p>
    <w:p>
      <w:pPr>
        <w:pStyle w:val="ListBullet"/>
      </w:pPr>
      <w:r>
        <w:t>Plan de respuesta a incidentes</w:t>
      </w:r>
    </w:p>
    <w:p>
      <w:r>
        <w:rPr>
          <w:i/>
        </w:rPr>
        <w:t>Además, el Artículo 21 exige que las bases de datos con datos personales se registren ante PRODHAB. Y el Artículo 3h requiere nombrar un responsable de base de datos.</w:t>
        <w:br/>
        <w:br/>
      </w:r>
      <w:r>
        <w:rPr>
          <w:i/>
        </w:rPr>
        <w:t>Finalmente, el Artículo 11 impone un deber de confidencialidad a todo el personal que maneje estos datos.»</w:t>
        <w:br/>
      </w:r>
    </w:p>
    <w:p>
      <w:r>
        <w:rPr>
          <w:b/>
        </w:rPr>
        <w:t xml:space="preserve">👉 SEÑALAR: </w:t>
      </w:r>
      <w:r>
        <w:t>En la diapositiva, la columna "Medidas de Seguridad" y el "Checklist de Cumplimiento".</w:t>
      </w:r>
    </w:p>
    <w:p/>
    <w:p>
      <w:pPr>
        <w:pStyle w:val="Heading2"/>
      </w:pPr>
      <w:r>
        <w:t>⑥ Cierre  (4:30 – 5:00) — Sin diapositiva</w:t>
      </w:r>
    </w:p>
    <w:p>
      <w:r>
        <w:rPr>
          <w:i/>
        </w:rPr>
        <w:t>«Conclusión: el dashboard de BI es viable legalmente, pero con modificaciones.</w:t>
        <w:br/>
        <w:br/>
      </w:r>
      <w:r>
        <w:t>Pueden usar GPS y hábitos de compra si implementan consentimiento informado. Deben eliminar el historial médico del BI comercial. Y deben implementar las medidas de seguridad, registrar las bases de datos en PRODHAB, y nombrar un responsable.</w:t>
        <w:br/>
        <w:br/>
      </w:r>
      <w:r>
        <w:t>Sin estos cambios, se exponen a multas por faltas gravísimas según el Artículo 31, que pueden alcanzar cientos de salarios base.</w:t>
        <w:br/>
        <w:br/>
      </w:r>
      <w:r>
        <w:t>En NexBIAnalytics no solo construimos dashboards inteligentes, los construimos cumpliendo la ley.</w:t>
        <w:br/>
        <w:br/>
      </w:r>
      <w:r>
        <w:rPr>
          <w:i/>
        </w:rPr>
        <w:t>Gracias. ¿Preguntas?»</w:t>
        <w:br/>
      </w:r>
    </w:p>
    <w:p>
      <w:r>
        <w:rPr>
          <w:b/>
        </w:rPr>
        <w:t xml:space="preserve">🎬 AVANZAR: </w:t>
      </w:r>
      <w:r>
        <w:t>No hay más diapositivas. Hacer contacto visual con el público y esperar preguntas.</w:t>
      </w:r>
    </w:p>
    <w:p/>
    <w:p>
      <w:pPr>
        <w:pStyle w:val="Heading1"/>
      </w:pPr>
      <w:r>
        <w:t>Resumen de transiciones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Diapositiva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2160"/>
          </w:tcPr>
          <w:p>
            <w:r>
              <w:t>0:00 – 0:30</w:t>
            </w:r>
          </w:p>
        </w:tc>
        <w:tc>
          <w:tcPr>
            <w:tcW w:type="dxa" w:w="2160"/>
          </w:tcPr>
          <w:p>
            <w:r>
              <w:t>Contexto del caso</w:t>
            </w:r>
          </w:p>
        </w:tc>
        <w:tc>
          <w:tcPr>
            <w:tcW w:type="dxa" w:w="2160"/>
          </w:tcPr>
          <w:p>
            <w:r>
              <w:t>Diapo 1</w:t>
            </w:r>
          </w:p>
        </w:tc>
        <w:tc>
          <w:tcPr>
            <w:tcW w:type="dxa" w:w="2160"/>
          </w:tcPr>
          <w:p>
            <w:r>
              <w:t>Abrir con Diapo 1 visible</w:t>
            </w:r>
          </w:p>
        </w:tc>
      </w:tr>
      <w:tr>
        <w:tc>
          <w:tcPr>
            <w:tcW w:type="dxa" w:w="2160"/>
          </w:tcPr>
          <w:p>
            <w:r>
              <w:t>0:30 – 1:30</w:t>
            </w:r>
          </w:p>
        </w:tc>
        <w:tc>
          <w:tcPr>
            <w:tcW w:type="dxa" w:w="2160"/>
          </w:tcPr>
          <w:p>
            <w:r>
              <w:t>Marco Legal</w:t>
            </w:r>
          </w:p>
        </w:tc>
        <w:tc>
          <w:tcPr>
            <w:tcW w:type="dxa" w:w="2160"/>
          </w:tcPr>
          <w:p>
            <w:r>
              <w:t>Diapo 1</w:t>
            </w:r>
          </w:p>
        </w:tc>
        <w:tc>
          <w:tcPr>
            <w:tcW w:type="dxa" w:w="2160"/>
          </w:tcPr>
          <w:p>
            <w:r>
              <w:t>Señalar columnas Personal/Sensible</w:t>
            </w:r>
          </w:p>
        </w:tc>
      </w:tr>
      <w:tr>
        <w:tc>
          <w:tcPr>
            <w:tcW w:type="dxa" w:w="2160"/>
          </w:tcPr>
          <w:p>
            <w:r>
              <w:t>1:30 – 2:30</w:t>
            </w:r>
          </w:p>
        </w:tc>
        <w:tc>
          <w:tcPr>
            <w:tcW w:type="dxa" w:w="2160"/>
          </w:tcPr>
          <w:p>
            <w:r>
              <w:t>Consentimiento</w:t>
            </w:r>
          </w:p>
        </w:tc>
        <w:tc>
          <w:tcPr>
            <w:tcW w:type="dxa" w:w="2160"/>
          </w:tcPr>
          <w:p>
            <w:r>
              <w:t>Diapo 1</w:t>
            </w:r>
          </w:p>
        </w:tc>
        <w:tc>
          <w:tcPr>
            <w:tcW w:type="dxa" w:w="2160"/>
          </w:tcPr>
          <w:p>
            <w:r>
              <w:t>Señalar checklist Art. 5</w:t>
            </w:r>
          </w:p>
        </w:tc>
      </w:tr>
      <w:tr>
        <w:tc>
          <w:tcPr>
            <w:tcW w:type="dxa" w:w="2160"/>
          </w:tcPr>
          <w:p>
            <w:r>
              <w:t>2:30 – 3:30</w:t>
            </w:r>
          </w:p>
        </w:tc>
        <w:tc>
          <w:tcPr>
            <w:tcW w:type="dxa" w:w="2160"/>
          </w:tcPr>
          <w:p>
            <w:r>
              <w:t>Solución Técnica</w:t>
            </w:r>
          </w:p>
        </w:tc>
        <w:tc>
          <w:tcPr>
            <w:tcW w:type="dxa" w:w="2160"/>
          </w:tcPr>
          <w:p>
            <w:r>
              <w:t>Diapo 2</w:t>
            </w:r>
          </w:p>
        </w:tc>
        <w:tc>
          <w:tcPr>
            <w:tcW w:type="dxa" w:w="2160"/>
          </w:tcPr>
          <w:p>
            <w:r>
              <w:t>Pasar a Diapo 2 al iniciar</w:t>
            </w:r>
          </w:p>
        </w:tc>
      </w:tr>
      <w:tr>
        <w:tc>
          <w:tcPr>
            <w:tcW w:type="dxa" w:w="2160"/>
          </w:tcPr>
          <w:p>
            <w:r>
              <w:t>3:30 – 4:30</w:t>
            </w:r>
          </w:p>
        </w:tc>
        <w:tc>
          <w:tcPr>
            <w:tcW w:type="dxa" w:w="2160"/>
          </w:tcPr>
          <w:p>
            <w:r>
              <w:t>Seguridad y Registro</w:t>
            </w:r>
          </w:p>
        </w:tc>
        <w:tc>
          <w:tcPr>
            <w:tcW w:type="dxa" w:w="2160"/>
          </w:tcPr>
          <w:p>
            <w:r>
              <w:t>Diapo 2</w:t>
            </w:r>
          </w:p>
        </w:tc>
        <w:tc>
          <w:tcPr>
            <w:tcW w:type="dxa" w:w="2160"/>
          </w:tcPr>
          <w:p>
            <w:r>
              <w:t>Señalar checklist seguridad</w:t>
            </w:r>
          </w:p>
        </w:tc>
      </w:tr>
      <w:tr>
        <w:tc>
          <w:tcPr>
            <w:tcW w:type="dxa" w:w="2160"/>
          </w:tcPr>
          <w:p>
            <w:r>
              <w:t>4:30 – 5:00</w:t>
            </w:r>
          </w:p>
        </w:tc>
        <w:tc>
          <w:tcPr>
            <w:tcW w:type="dxa" w:w="2160"/>
          </w:tcPr>
          <w:p>
            <w:r>
              <w:t>Cierre</w:t>
            </w:r>
          </w:p>
        </w:tc>
        <w:tc>
          <w:tcPr>
            <w:tcW w:type="dxa" w:w="2160"/>
          </w:tcPr>
          <w:p>
            <w:r>
              <w:t>(ninguna)</w:t>
            </w:r>
          </w:p>
        </w:tc>
        <w:tc>
          <w:tcPr>
            <w:tcW w:type="dxa" w:w="2160"/>
          </w:tcPr>
          <w:p>
            <w:r>
              <w:t>Contacto visual, preguntas</w:t>
            </w:r>
          </w:p>
        </w:tc>
      </w:tr>
    </w:tbl>
    <w:p/>
    <w:p>
      <w:pPr>
        <w:pStyle w:val="Heading2"/>
      </w:pPr>
      <w:r>
        <w:t>Flujo rápido de diapositivas</w:t>
      </w:r>
    </w:p>
    <w:p>
      <w:r>
        <w:rPr>
          <w:b/>
        </w:rPr>
        <w:t xml:space="preserve">🎬 Diapo 1 → </w:t>
      </w:r>
      <w:r>
        <w:t>Secciones 1, 2, 3 (0:00 – 2:30)</w:t>
      </w:r>
    </w:p>
    <w:p>
      <w:r>
        <w:rPr>
          <w:b/>
        </w:rPr>
        <w:t xml:space="preserve">🎬 Diapo 2 → </w:t>
      </w:r>
      <w:r>
        <w:t>Secciones 4, 5 (2:30 – 4:30)</w:t>
      </w:r>
    </w:p>
    <w:p>
      <w:r>
        <w:rPr>
          <w:b/>
        </w:rPr>
        <w:t xml:space="preserve">🎬 Sin diapo → </w:t>
      </w:r>
      <w:r>
        <w:t>Sección 6 (4:30 – 5:00)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