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40"/>
        </w:rPr>
        <w:t>Guion de demo — reunión técnica</w:t>
      </w:r>
    </w:p>
    <w:p>
      <w:pPr>
        <w:spacing w:after="40" w:before="0"/>
      </w:pPr>
      <w:r>
        <w:rPr>
          <w:b w:val="0"/>
          <w:i/>
          <w:color w:val="555555"/>
          <w:sz w:val="23"/>
        </w:rPr>
        <w:t>Asistente RAG de Prácticum · con el Ing. René</w:t>
      </w:r>
    </w:p>
    <w:p>
      <w:pPr>
        <w:spacing w:after="240" w:before="0"/>
      </w:pPr>
      <w:r>
        <w:rPr>
          <w:b w:val="0"/>
          <w:i w:val="0"/>
          <w:color w:val="555555"/>
          <w:sz w:val="20"/>
        </w:rPr>
        <w:t>Alex Quishpe · UTPL</w:t>
      </w:r>
    </w:p>
    <w:p>
      <w:pPr>
        <w:spacing w:after="80" w:before="40"/>
      </w:pPr>
      <w:r>
        <w:rPr>
          <w:b/>
          <w:i w:val="0"/>
          <w:color w:val="1F3864"/>
          <w:sz w:val="26"/>
        </w:rPr>
        <w:t>Antes de empezar (checklist)</w:t>
      </w:r>
    </w:p>
    <w:p>
      <w:pPr>
        <w:spacing w:after="40"/>
      </w:pPr>
      <w:r>
        <w:rPr>
          <w:sz w:val="22"/>
        </w:rPr>
        <w:t>•  App corriendo: en la terminal  -&gt;  streamlit run app.py  (usa Groq/Llama, 14.400 req/día).</w:t>
      </w:r>
    </w:p>
    <w:p>
      <w:pPr>
        <w:spacing w:after="40"/>
      </w:pPr>
      <w:r>
        <w:rPr>
          <w:sz w:val="22"/>
        </w:rPr>
        <w:t>•  Demo poblada: 2 reglamentos + 2 sílabos + 14 consultas de ejemplo (ya listo).</w:t>
      </w:r>
    </w:p>
    <w:p>
      <w:pPr>
        <w:spacing w:after="40"/>
      </w:pPr>
      <w:r>
        <w:rPr>
          <w:sz w:val="22"/>
        </w:rPr>
        <w:t>•  Ten a mano la terminal para correr  python pruebas_herramientas.py  si lo piden.</w:t>
      </w:r>
    </w:p>
    <w:p>
      <w:pPr>
        <w:spacing w:after="40"/>
      </w:pPr>
      <w:r>
        <w:rPr>
          <w:sz w:val="22"/>
        </w:rPr>
        <w:t>•  Respira. Tú construiste esto y lo entiendes.</w:t>
      </w:r>
    </w:p>
    <w:p>
      <w:pPr>
        <w:spacing w:after="80" w:before="280"/>
      </w:pPr>
      <w:r>
        <w:rPr>
          <w:b/>
          <w:i w:val="0"/>
          <w:color w:val="1F3864"/>
          <w:sz w:val="28"/>
        </w:rPr>
        <w:t>Parte 1 — Apertura (30 segundos)</w:t>
      </w:r>
    </w:p>
    <w:p>
      <w:pPr>
        <w:spacing w:after="80" w:before="0"/>
      </w:pPr>
      <w:r>
        <w:rPr>
          <w:b w:val="0"/>
          <w:i w:val="0"/>
          <w:sz w:val="22"/>
        </w:rPr>
        <w:t>Explica qué es, sin tecnicismos todavía:</w:t>
      </w:r>
    </w:p>
    <w:p>
      <w:pPr>
        <w:spacing w:after="120" w:before="0"/>
      </w:pPr>
      <w:r>
        <w:rPr>
          <w:b w:val="0"/>
          <w:i/>
          <w:color w:val="555555"/>
          <w:sz w:val="22"/>
        </w:rPr>
        <w:t>“Es un asistente que responde dudas de Prácticum usando solo los documentos oficiales como fuente. Lo importante es que no inventa: si la respuesta no está en los documentos, lo dice y deriva a coordinación. Y cita de dónde sacó cada respuesta.”</w:t>
      </w:r>
    </w:p>
    <w:p>
      <w:pPr>
        <w:spacing w:after="80" w:before="280"/>
      </w:pPr>
      <w:r>
        <w:rPr>
          <w:b/>
          <w:i w:val="0"/>
          <w:color w:val="1F3864"/>
          <w:sz w:val="28"/>
        </w:rPr>
        <w:t>Parte 2 — Demo en vivo (el corazón)</w:t>
      </w:r>
    </w:p>
    <w:p>
      <w:pPr>
        <w:spacing w:after="40"/>
      </w:pPr>
      <w:r>
        <w:rPr>
          <w:b/>
          <w:color w:val="1F3864"/>
        </w:rPr>
        <w:t xml:space="preserve">1. </w:t>
      </w:r>
      <w:r>
        <w:rPr>
          <w:b/>
        </w:rPr>
        <w:t>Entra como Estudiante (barra lateral) y pregunta: “¿Cuántas horas de prácticas necesito?”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“Recupera el fragmento del reglamento y un modelo redacta la respuesta citando la fuente.”</w:t>
      </w:r>
    </w:p>
    <w:p>
      <w:pPr>
        <w:spacing w:after="40"/>
      </w:pPr>
      <w:r>
        <w:rPr>
          <w:b/>
          <w:color w:val="1F3864"/>
        </w:rPr>
        <w:t xml:space="preserve">2. </w:t>
      </w:r>
      <w:r>
        <w:rPr>
          <w:b/>
        </w:rPr>
        <w:t>Haz clic en el botón de la fuente citada (📄 Reglamento...).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“Y puedo ver la página exacta del documento de donde salió. No es una caja negra.”</w:t>
      </w:r>
    </w:p>
    <w:p>
      <w:pPr>
        <w:spacing w:after="40"/>
      </w:pPr>
      <w:r>
        <w:rPr>
          <w:b/>
          <w:color w:val="1F3864"/>
        </w:rPr>
        <w:t xml:space="preserve">3. </w:t>
      </w:r>
      <w:r>
        <w:rPr>
          <w:b/>
        </w:rPr>
        <w:t>Pregunta algo fuera de los documentos: “¿Cuánto cuesta la matrícula?”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“Aquí está el control anti-alucinación: no inventa, deriva a coordinación. Ese es el aporte central.”</w:t>
      </w:r>
    </w:p>
    <w:p>
      <w:pPr>
        <w:spacing w:after="40"/>
      </w:pPr>
      <w:r>
        <w:rPr>
          <w:b/>
          <w:color w:val="1F3864"/>
        </w:rPr>
        <w:t xml:space="preserve">4. </w:t>
      </w:r>
      <w:r>
        <w:rPr>
          <w:b/>
        </w:rPr>
        <w:t>Cambia el selector a “Curso: Prácticum 1” y pregunta: “¿Cuánto vale la bitácora semanal?”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“Responde 30%, porque está en el sílabo de este curso.”</w:t>
      </w:r>
    </w:p>
    <w:p>
      <w:pPr>
        <w:spacing w:after="40"/>
      </w:pPr>
      <w:r>
        <w:rPr>
          <w:b/>
          <w:color w:val="1F3864"/>
        </w:rPr>
        <w:t xml:space="preserve">5. </w:t>
      </w:r>
      <w:r>
        <w:rPr>
          <w:b/>
        </w:rPr>
        <w:t>Vuelve a “General” y haz la MISMA pregunta.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“Ahora no lo sabe. El documento del docente solo afecta a su curso: conocimiento por capas.”</w:t>
      </w:r>
    </w:p>
    <w:p>
      <w:pPr>
        <w:spacing w:after="40"/>
      </w:pPr>
      <w:r>
        <w:rPr>
          <w:b/>
          <w:color w:val="1F3864"/>
        </w:rPr>
        <w:t xml:space="preserve">6. </w:t>
      </w:r>
      <w:r>
        <w:rPr>
          <w:b/>
        </w:rPr>
        <w:t>Entra como Coordinación (clave utpl2026) → pestaña Métricas.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“El sistema agrupa las consultas por significado, no por texto exacto. Mira: varias formas de preguntar lo mismo quedan en un solo tema. Y abajo, las preguntas sin respaldo, que son los vacíos de información a cubrir. Todo anónimo: no se guarda quién preguntó.”</w:t>
      </w:r>
    </w:p>
    <w:p>
      <w:pPr>
        <w:spacing w:after="40"/>
      </w:pPr>
      <w:r>
        <w:rPr>
          <w:b/>
          <w:color w:val="1F3864"/>
        </w:rPr>
        <w:t xml:space="preserve">7. </w:t>
      </w:r>
      <w:r>
        <w:rPr>
          <w:b/>
        </w:rPr>
        <w:t>(Opcional) Entra como Docente (clave docente2026) → Métricas de mi aula.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“Cada docente ve solo las consultas de su propio curso.”</w:t>
      </w:r>
    </w:p>
    <w:p>
      <w:pPr>
        <w:spacing w:after="80" w:before="280"/>
      </w:pPr>
      <w:r>
        <w:rPr>
          <w:b/>
          <w:i w:val="0"/>
          <w:color w:val="1F3864"/>
          <w:sz w:val="28"/>
        </w:rPr>
        <w:t>Parte 3 — Lo técnico (lo que pidió René)</w:t>
      </w:r>
    </w:p>
    <w:p>
      <w:pPr>
        <w:spacing w:after="40"/>
      </w:pPr>
      <w:r>
        <w:rPr>
          <w:b/>
          <w:color w:val="1F3864"/>
        </w:rPr>
        <w:t xml:space="preserve">A. </w:t>
      </w:r>
      <w:r>
        <w:rPr>
          <w:b/>
        </w:rPr>
        <w:t>Muestra la estructura de archivos: los adaptadores (embeddings, vectorstore, llm, pdfreader) + rag.py.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“Diseñé la arquitectura modular por adaptadores: rag.py no conoce ChromaDB ni el modelo directamente, habla con adaptadores. Por eso cambiar una herramienta no afecta el resto.”</w:t>
      </w:r>
    </w:p>
    <w:p>
      <w:pPr>
        <w:spacing w:after="40"/>
      </w:pPr>
      <w:r>
        <w:rPr>
          <w:b/>
          <w:color w:val="1F3864"/>
        </w:rPr>
        <w:t xml:space="preserve">B. </w:t>
      </w:r>
      <w:r>
        <w:rPr>
          <w:b/>
        </w:rPr>
        <w:t>Cuenta el caso real del LLM.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“Gemini tenía poca cuota gratis; evalué alternativas y cambié a Groq con Llama tocando un solo archivo. Eso es la modularidad en acción.”</w:t>
      </w:r>
    </w:p>
    <w:p>
      <w:pPr>
        <w:spacing w:after="40"/>
      </w:pPr>
      <w:r>
        <w:rPr>
          <w:b/>
          <w:color w:val="1F3864"/>
        </w:rPr>
        <w:t xml:space="preserve">C. </w:t>
      </w:r>
      <w:r>
        <w:rPr>
          <w:b/>
        </w:rPr>
        <w:t>Corre  python pruebas_herramientas.py  (si lo piden).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“Validé las herramientas con datos: PyMuPDF es 2,3x más rápido que pypdf, chunk de 500 da la mejor precisión, y MiniLM iguala a e5 siendo más liviano. Tengo el documento de justificación del stack.”</w:t>
      </w:r>
    </w:p>
    <w:p>
      <w:pPr>
        <w:spacing w:after="40"/>
      </w:pPr>
      <w:r>
        <w:rPr>
          <w:b/>
          <w:color w:val="1F3864"/>
        </w:rPr>
        <w:t xml:space="preserve">D. </w:t>
      </w:r>
      <w:r>
        <w:rPr>
          <w:b/>
        </w:rPr>
        <w:t>Menciona la API.</w:t>
      </w:r>
    </w:p>
    <w:p>
      <w:pPr>
        <w:spacing w:after="160"/>
        <w:ind w:left="360"/>
      </w:pPr>
      <w:r>
        <w:rPr>
          <w:i/>
          <w:color w:val="2E7D32"/>
          <w:sz w:val="21"/>
        </w:rPr>
        <w:t xml:space="preserve">Dices: </w:t>
      </w:r>
      <w:r>
        <w:rPr>
          <w:i/>
          <w:color w:val="555555"/>
          <w:sz w:val="21"/>
        </w:rPr>
        <w:t>“Además dejé la lógica expuesta como API REST con FastAPI, así la web de la universidad podría consumirla a futuro sin reescribir el motor.”</w:t>
      </w:r>
    </w:p>
    <w:p>
      <w:pPr>
        <w:spacing w:after="80" w:before="280"/>
      </w:pPr>
      <w:r>
        <w:rPr>
          <w:b/>
          <w:i w:val="0"/>
          <w:color w:val="1F3864"/>
          <w:sz w:val="28"/>
        </w:rPr>
        <w:t>Parte 4 — Cierre</w:t>
      </w:r>
    </w:p>
    <w:p>
      <w:pPr>
        <w:spacing w:after="120" w:before="0"/>
      </w:pPr>
      <w:r>
        <w:rPr>
          <w:b w:val="0"/>
          <w:i/>
          <w:color w:val="555555"/>
          <w:sz w:val="22"/>
        </w:rPr>
        <w:t>“En resumen: es un asistente RAG con control anti-alucinación y citación, arquitectura modular que permite cambiar herramientas sin romper nada, y conocimiento por capas para escalar a más cursos y carreras. Lo que sigue es la evaluación con RAGAS y SUS.”</w:t>
      </w:r>
    </w:p>
    <w:p>
      <w:pPr>
        <w:spacing w:after="80" w:before="280"/>
      </w:pPr>
      <w:r>
        <w:rPr>
          <w:b/>
          <w:i w:val="0"/>
          <w:color w:val="1F3864"/>
          <w:sz w:val="28"/>
        </w:rPr>
        <w:t>Por si te preguntan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Respuesta corta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¿Entrenaste un modelo?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No. Es RAG: se indexan los documentos y se recuperan; no se entrena.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¿Cómo evita inventar?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Umbral de similitud + prompt restrictivo + citación; sin respaldo, deriva.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¿Y si cambia una herramienta?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Es modular; cambio el adaptador y nada más se entera.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¿Escala a más carreras?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Sí, el alcance ya lo soporta: carrera|global y carrera|curso:X.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¿Privacidad de las consultas?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Anónimas: solo texto, fecha y ámbito, nunca quién preguntó.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¿Por qué Groq/Llama?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Mejor cuota gratis (14.400/día) y buena calidad para RAG; comparé alternativas.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