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СИМУЛИРАНЕ НА ПРОБИВИ В СИГУРНОСТТА И АНАЛИЗ НА РЕЗУЛТАТИТЕ ПО МЕТОДА “ZERO-TRUST”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Съдържание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(автоматично от headings)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Списък със съкращения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(сортиран по азбучен ред)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Увод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1-2 страници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Проактивното търсене на нови заплахи за информационната и комуникационна инфраструктура на организацията е важно. Освен „класическото“ сканиране за уязвимости в последните години се прилага и подхода за “breach attack simulation”- симулиране на атаки.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Оценката на сигурността може да се реализира с различени качествени и количествени методи. а в последните години се прилага и подхода “zero-trust”, който е динамичен и подходящ за актуалните фрагментирани инфраструктури.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Целта на дипломната работа е да се реализира симулиране на пробиви в сигурността на реална информационна и комуникационна инфраструктура, резултатите да се обработят и анализират по метода “Zero-trust” и да се обобщят препоръки за подобрение. 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Глава 1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 – “Zero-Trust” и “Breach Attack Simulation”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10-15 страници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Какво представлява zero-trust. Обобщена архитектура на модела. 5-Why/5-W. Защо “Zero-trust” е динамичен. Примерни системи.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Какво представлява “breach attack simulation”. Примерни системи. “Agent-based” и “agent-less’ подход.  Силни и слаби страни.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Задължително се включват screen shots.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Глава 2 Платформа Infection Monkey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yellow"/>
          <w:rtl w:val="0"/>
        </w:rPr>
        <w:t xml:space="preserve">15-20 страници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Описание на Infection Monkey. Основни функционални характеристики. Системни изисквания. Приложение, силни и слаби страни. Включени методи за „атака“ и възможност за надграждане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Глава 3 – Симулиране на пробиви в сигурността на реална инфраструктура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yellow"/>
          <w:rtl w:val="0"/>
        </w:rPr>
        <w:t xml:space="preserve">15-20 страници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План за действие. Инсталиране на Infection Monkey и стартиране на анализ. Добавяне на нови модули и повторно стартиране на анализ.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Глава 4 – Обобщаване на резултатите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yellow"/>
          <w:rtl w:val="0"/>
        </w:rPr>
        <w:t xml:space="preserve">10-15 страници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Анализ на получените резултати от работата на Infection Monkey по метода “zero trust”.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Насоки за подобрение на сигурността.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Изводи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yellow"/>
          <w:rtl w:val="0"/>
        </w:rPr>
        <w:t xml:space="preserve">1-2 страници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Обобщение на целта на дипломната работа. Какво е постигнато в разработката и какво е бъдещото развитие.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Използвана литература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6" w:lineRule="auto"/>
        <w:ind w:left="720" w:hanging="36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Zane Pokorny et. al, “The Threat Intelligence Workbook”, Second Edition, CyberEdge Press, 2019, ISBN: 978-1-948939-06-5.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D758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D758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C007A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007A3"/>
  </w:style>
  <w:style w:type="character" w:styleId="PageNumber">
    <w:name w:val="page number"/>
    <w:basedOn w:val="DefaultParagraphFont"/>
    <w:uiPriority w:val="99"/>
    <w:semiHidden w:val="1"/>
    <w:unhideWhenUsed w:val="1"/>
    <w:rsid w:val="00C007A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d/883yDVkqyJLQ7U062pCbmGQ==">AMUW2mVX/PSt9J9TsCJ3LgBwH6KEtBxv1RWIxZY3QYCDO6rCrV4/BVT/PAYhkMwrSEHAnSOkENsvErOqIuDDZ2tOIovCK69QjETfEHWE93Tldqb3I2PpZok=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2020-12-07T05:59:00Z</dcterms:created>
  <dc:creator>Alexander Tzokev</dc:creator>
</cp:coreProperties>
</file>