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Міністерство освіти і науки України</w:t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Національний університет «Одеська політехніка»</w:t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Навчально-науковий інститут комп’ютерних систем</w:t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інформаційних систем</w:t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 </w:t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 </w:t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 </w:t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Лабораторна робота № 3</w:t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 дисципліни: «Інструментальні засоби систем IoT»</w:t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Тема: «Активні фільтри на основі операційних підсилювачів (ОП)»</w:t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 </w:t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 </w:t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 </w:t>
      </w:r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 </w:t>
      </w:r>
    </w:p>
    <w:p>
      <w:pPr>
        <w:pStyle w:val="normal1"/>
        <w:shd w:val="clear" w:fill="FFFFFF"/>
        <w:spacing w:lineRule="auto" w:line="36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Виконав:</w:t>
      </w:r>
    </w:p>
    <w:p>
      <w:pPr>
        <w:pStyle w:val="normal1"/>
        <w:shd w:val="clear" w:fill="FFFFFF"/>
        <w:spacing w:lineRule="auto" w:line="36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Студент групи АІ-243</w:t>
      </w:r>
    </w:p>
    <w:p>
      <w:pPr>
        <w:pStyle w:val="normal1"/>
        <w:shd w:val="clear" w:fill="FFFFFF"/>
        <w:spacing w:lineRule="auto" w:line="36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Гаврилов</w:t>
      </w:r>
      <w:r>
        <w:rPr>
          <w:rFonts w:eastAsia="Times New Roman" w:cs="Times New Roman" w:ascii="Times New Roman" w:hAnsi="Times New Roman"/>
          <w:sz w:val="28"/>
          <w:szCs w:val="28"/>
        </w:rPr>
        <w:t>. О.В.</w:t>
      </w:r>
    </w:p>
    <w:p>
      <w:pPr>
        <w:pStyle w:val="normal1"/>
        <w:shd w:val="clear" w:fill="FFFFFF"/>
        <w:spacing w:lineRule="auto" w:line="36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Перевірили: </w:t>
      </w:r>
    </w:p>
    <w:p>
      <w:pPr>
        <w:pStyle w:val="normal1"/>
        <w:shd w:val="clear" w:fill="FFFFFF"/>
        <w:spacing w:lineRule="auto" w:line="36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Ядрова М.В.</w:t>
      </w:r>
    </w:p>
    <w:p>
      <w:pPr>
        <w:pStyle w:val="normal1"/>
        <w:shd w:val="clear" w:fill="FFFFFF"/>
        <w:spacing w:lineRule="auto" w:line="36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Арісій О.О.</w:t>
      </w:r>
    </w:p>
    <w:p>
      <w:pPr>
        <w:pStyle w:val="normal1"/>
        <w:shd w:val="clear" w:fill="FFFFFF"/>
        <w:spacing w:lineRule="auto" w:line="36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hd w:val="clear" w:fill="FFFFFF"/>
        <w:spacing w:lineRule="auto" w:line="36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Одеса 2025</w:t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</w:t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286375" cy="3838575"/>
            <wp:effectExtent l="0" t="0" r="0" b="0"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 3.1 - Схема ФНЧ 2-го порядку</w:t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6120130" cy="4699000"/>
            <wp:effectExtent l="0" t="0" r="0" b="0"/>
            <wp:docPr id="2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 3.2 - Амплітудно-частотна характеристика АЧХ ФНЧ 2-го порядку</w:t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Експериментальне значення: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зр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104</m:t>
        </m:r>
        <m:r>
          <w:rPr>
            <w:rFonts w:ascii="Cambria Math" w:hAnsi="Cambria Math"/>
          </w:rPr>
          <m:t xml:space="preserve">KHz</m:t>
        </m:r>
      </m:oMath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зр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</m:t>
              </m:r>
              <m:rad>
                <m:radPr>
                  <m:degHide m:val="1"/>
                </m:radPr>
                <m:deg/>
                <m:e/>
              </m:rad>
            </m:den>
          </m:f>
        </m:oMath>
      </m:oMathPara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Смуга пропускання: від 0 до 104 KHz.</w:t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6120130" cy="4787900"/>
            <wp:effectExtent l="0" t="0" r="0" b="0"/>
            <wp:docPr id="3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 3.3 - Часова діаграма сигналу до ФНЧ і після ФНЧ</w:t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</w:t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181600" cy="4171950"/>
            <wp:effectExtent l="0" t="0" r="0" b="0"/>
            <wp:docPr id="4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 3.4 - Схема ФВЧ 2-го порядку</w:t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6120130" cy="4749800"/>
            <wp:effectExtent l="0" t="0" r="0" b="0"/>
            <wp:docPr id="5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 3.5 - АЧХ ФВЧ 2-го порядку</w:t>
      </w:r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Експериментальні значення:</w:t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зр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124</m:t>
          </m:r>
          <m:r>
            <w:rPr>
              <w:rFonts w:ascii="Cambria Math" w:hAnsi="Cambria Math"/>
            </w:rPr>
            <m:t xml:space="preserve">Hz</m:t>
          </m:r>
        </m:oMath>
      </m:oMathPara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зр</m:t>
              </m:r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1.159</m:t>
          </m:r>
          <m:r>
            <w:rPr>
              <w:rFonts w:ascii="Cambria Math" w:hAnsi="Cambria Math"/>
            </w:rPr>
            <m:t xml:space="preserve">MHz</m:t>
          </m:r>
        </m:oMath>
      </m:oMathPara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зр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</m:t>
              </m:r>
              <m:rad>
                <m:radPr>
                  <m:degHide m:val="1"/>
                </m:radPr>
                <m:deg/>
                <m:e/>
              </m:rad>
            </m:den>
          </m:f>
        </m:oMath>
      </m:oMathPara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Смуга пропускання: від 124 KHz до 1.159 MHz.</w:t>
      </w:r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6120130" cy="4699000"/>
            <wp:effectExtent l="0" t="0" r="0" b="0"/>
            <wp:docPr id="6" name="image1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2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 3.6 - Часова діаграма сигналу до ФВЧ і після ФВЧ</w:t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</w:t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6120130" cy="3467100"/>
            <wp:effectExtent l="0" t="0" r="0" b="0"/>
            <wp:docPr id="7" name="image1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0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 3.7 - Схема смугового фільтру</w:t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6120130" cy="4597400"/>
            <wp:effectExtent l="0" t="0" r="0" b="0"/>
            <wp:docPr id="8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 3.8 - АЧХ смугового фільтру</w:t>
      </w:r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Експериментальні значення:</w:t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100</m:t>
          </m:r>
          <m:r>
            <w:rPr>
              <w:rFonts w:ascii="Cambria Math" w:hAnsi="Cambria Math"/>
            </w:rPr>
            <m:t xml:space="preserve">Hz</m:t>
          </m:r>
        </m:oMath>
      </m:oMathPara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зр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90</m:t>
          </m:r>
          <m:r>
            <w:rPr>
              <w:rFonts w:ascii="Cambria Math" w:hAnsi="Cambria Math"/>
            </w:rPr>
            <m:t xml:space="preserve">Hz</m:t>
          </m:r>
        </m:oMath>
      </m:oMathPara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зр</m:t>
              </m:r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109</m:t>
          </m:r>
          <m:r>
            <w:rPr>
              <w:rFonts w:ascii="Cambria Math" w:hAnsi="Cambria Math"/>
            </w:rPr>
            <m:t xml:space="preserve">Hz</m:t>
          </m:r>
        </m:oMath>
      </m:oMathPara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</m:t>
              </m:r>
              <m:rad>
                <m:radPr>
                  <m:degHide m:val="1"/>
                </m:radPr>
                <m:deg/>
                <m:e/>
              </m:rad>
            </m:den>
          </m:f>
        </m:oMath>
      </m:oMathPara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K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10</m:t>
          </m:r>
        </m:oMath>
      </m:oMathPara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Смуга пропускання: від 90 Hz до 109 Hz.</w:t>
      </w:r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6120130" cy="4699000"/>
            <wp:effectExtent l="0" t="0" r="0" b="0"/>
            <wp:docPr id="9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 3.9 - Часова діаграма сигналу до і після смугового фільтру</w:t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4.</w:t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6120130" cy="3975100"/>
            <wp:effectExtent l="0" t="0" r="0" b="0"/>
            <wp:docPr id="10" name="image1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 3.10 - Схема загороджувального фільтру</w:t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6120130" cy="4635500"/>
            <wp:effectExtent l="0" t="0" r="0" b="0"/>
            <wp:docPr id="1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 3.11 - АЧХ загороджувального фільтру</w:t>
      </w:r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Експериментальні значення:</w:t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50</m:t>
          </m:r>
          <m:r>
            <w:rPr>
              <w:rFonts w:ascii="Cambria Math" w:hAnsi="Cambria Math"/>
            </w:rPr>
            <m:t xml:space="preserve">Hz</m:t>
          </m:r>
        </m:oMath>
      </m:oMathPara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зр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11</m:t>
          </m:r>
          <m:r>
            <w:rPr>
              <w:rFonts w:ascii="Cambria Math" w:hAnsi="Cambria Math"/>
            </w:rPr>
            <m:t xml:space="preserve">Hz</m:t>
          </m:r>
        </m:oMath>
      </m:oMathPara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зр</m:t>
              </m:r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210</m:t>
          </m:r>
          <m:r>
            <w:rPr>
              <w:rFonts w:ascii="Cambria Math" w:hAnsi="Cambria Math"/>
            </w:rPr>
            <m:t xml:space="preserve">Hz</m:t>
          </m:r>
        </m:oMath>
      </m:oMathPara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RC</m:t>
              </m:r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49.8</m:t>
          </m:r>
          <m:r>
            <w:rPr>
              <w:rFonts w:ascii="Cambria Math" w:hAnsi="Cambria Math"/>
            </w:rPr>
            <m:t xml:space="preserve">Hz</m:t>
          </m:r>
        </m:oMath>
      </m:oMathPara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Смуга пропускання: всі частоти окрім проміжку від 11 Hz до 210 Hz.</w:t>
      </w:r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6120130" cy="4813300"/>
            <wp:effectExtent l="0" t="0" r="0" b="0"/>
            <wp:docPr id="12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Рис. 3.12 - Часова діаграма сигналу до і після загороджувального фільтру</w:t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Контрольні запитання</w:t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 Що таке активні фільтри?</w:t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Активні фільтри - це електронні схеми, що містять операційні підсилювачі, резистори та конденсатори, які дозволяють вибірково пропускати або пригнічувати сигнали певних частот без використання котушок індуктивності.</w:t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 Призначення ФНЧ, ФВЧ, СФ, ЗФ:</w:t>
      </w:r>
    </w:p>
    <w:p>
      <w:pPr>
        <w:pStyle w:val="normal1"/>
        <w:numPr>
          <w:ilvl w:val="0"/>
          <w:numId w:val="3"/>
        </w:numPr>
        <w:shd w:val="clear" w:fill="FFFFFF"/>
        <w:spacing w:lineRule="auto" w:line="360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ФНЧ (фільтр низьких частот): пропускає сигнали нижче заданої частоти зрізу, пригнічує високі.</w:t>
      </w:r>
    </w:p>
    <w:p>
      <w:pPr>
        <w:pStyle w:val="normal1"/>
        <w:numPr>
          <w:ilvl w:val="0"/>
          <w:numId w:val="3"/>
        </w:numPr>
        <w:shd w:val="clear" w:fill="FFFFFF"/>
        <w:spacing w:lineRule="auto" w:line="360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ФВЧ (фільтр високих частот): пропускає сигнали вище частоти зрізу, пригнічує низькі.</w:t>
      </w:r>
    </w:p>
    <w:p>
      <w:pPr>
        <w:pStyle w:val="normal1"/>
        <w:numPr>
          <w:ilvl w:val="0"/>
          <w:numId w:val="3"/>
        </w:numPr>
        <w:shd w:val="clear" w:fill="FFFFFF"/>
        <w:spacing w:lineRule="auto" w:line="360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СФ (смуговий фільтр): пропускає сигнали у певному діапазоні частот (смузі пропускання).</w:t>
      </w:r>
    </w:p>
    <w:p>
      <w:pPr>
        <w:pStyle w:val="normal1"/>
        <w:numPr>
          <w:ilvl w:val="0"/>
          <w:numId w:val="3"/>
        </w:numPr>
        <w:shd w:val="clear" w:fill="FFFFFF"/>
        <w:spacing w:lineRule="auto" w:line="360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ЗФ (загороджувальний фільтр): пригнічує сигнали у вузькому діапазоні частот (смузі загородження), пропускає нижчі й вищі.</w:t>
      </w:r>
    </w:p>
    <w:p>
      <w:pPr>
        <w:pStyle w:val="normal1"/>
        <w:shd w:val="clear" w:fill="FFFFFF"/>
        <w:spacing w:lineRule="auto" w:line="360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 Наведіть схеми на основі ОП: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360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ФНЧ і ФВЧ будуються за схемами типу Sallen–Key або Баттерворта на ОП (LM324, TL081).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360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СФ - комбінація ФНЧ і ФВЧ з підсиленням на ОП.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360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ЗФ - поєднання ФНЧ і ФВЧ із сумуванням сигналів для віднімання резонансної частоти.</w:t>
      </w:r>
    </w:p>
    <w:p>
      <w:pPr>
        <w:pStyle w:val="normal1"/>
        <w:shd w:val="clear" w:fill="FFFFFF"/>
        <w:spacing w:lineRule="auto" w:line="360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4. АЧХ фільтрів і визначення смуги пропускання: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360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Gungsuh" w:cs="Gungsuh" w:ascii="Gungsuh" w:hAnsi="Gungsuh"/>
          <w:sz w:val="28"/>
          <w:szCs w:val="28"/>
        </w:rPr>
        <w:t>ФНЧ: плоска АЧХ до частоти зрізу, далі спад −20 дБ/дек або −40 дБ/дек.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360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ФВЧ: зростання до частоти зрізу, потім стабільна ділянка.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360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СФ: має «дзвонову» форму навколо резонансної частоти.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360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ЗФ: має провал (мінімум) на частоті пригнічення. 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360"/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Gungsuh" w:cs="Gungsuh" w:ascii="Gungsuh" w:hAnsi="Gungsuh"/>
          <w:sz w:val="28"/>
          <w:szCs w:val="28"/>
        </w:rPr>
        <w:t>Смуга пропускання визначається між точками −3 дБ відносно максимуму АЧХ.</w:t>
      </w:r>
    </w:p>
    <w:p>
      <w:pPr>
        <w:pStyle w:val="normal1"/>
        <w:shd w:val="clear" w:fill="FFFFFF"/>
        <w:spacing w:lineRule="auto" w:line="360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hd w:val="clear" w:fill="FFFFFF"/>
        <w:spacing w:lineRule="auto" w:line="360"/>
        <w:ind w:hanging="0" w:left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Висновок</w:t>
      </w:r>
    </w:p>
    <w:p>
      <w:pPr>
        <w:pStyle w:val="BodyText"/>
        <w:shd w:val="clear" w:fill="FFFFFF"/>
        <w:spacing w:lineRule="auto" w:line="360"/>
        <w:ind w:firstLine="720" w:left="0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Лабораторна робота була присвячена дослідженню активних електронних фільтрів на базі операційних підсилювачів (ОП): фільтра нижніх частот (ФНЧ), фільтра верхніх частот (ФВЧ), смугового та загороджувального фільтрів.</w:t>
      </w:r>
    </w:p>
    <w:p>
      <w:pPr>
        <w:pStyle w:val="BodyText"/>
        <w:spacing w:lineRule="auto" w:line="273" w:before="0" w:after="140"/>
        <w:ind w:hanging="0" w:left="0" w:right="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 ході моделювання (або експерименту) були виконані такі завдання:</w:t>
      </w:r>
    </w:p>
    <w:p>
      <w:pPr>
        <w:pStyle w:val="BodyText"/>
        <w:numPr>
          <w:ilvl w:val="0"/>
          <w:numId w:val="4"/>
        </w:numPr>
        <w:pBdr/>
        <w:tabs>
          <w:tab w:val="clear" w:pos="720"/>
          <w:tab w:val="left" w:pos="0" w:leader="none"/>
        </w:tabs>
        <w:spacing w:lineRule="auto" w:line="273" w:before="0" w:after="140"/>
        <w:ind w:hanging="283" w:left="709" w:right="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Визначено частоти зрізу (f</w:t>
      </w:r>
      <w:r>
        <w:rPr>
          <w:rFonts w:ascii="Times New Roman" w:hAnsi="Times New Roman"/>
          <w:b w:val="false"/>
          <w:bCs w:val="false"/>
          <w:sz w:val="28"/>
          <w:szCs w:val="28"/>
          <w:vertAlign w:val="subscript"/>
        </w:rPr>
        <w:t>c</w:t>
      </w:r>
      <w:r>
        <w:rPr>
          <w:rFonts w:ascii="Times New Roman" w:hAnsi="Times New Roman"/>
          <w:b w:val="false"/>
          <w:bCs w:val="false"/>
          <w:sz w:val="28"/>
          <w:szCs w:val="28"/>
        </w:rPr>
        <w:t>) для ФНЧ та ФВЧ, а також резонансні частоти (f</w:t>
      </w:r>
      <w:r>
        <w:rPr>
          <w:rFonts w:ascii="Times New Roman" w:hAnsi="Times New Roman"/>
          <w:b w:val="false"/>
          <w:bCs w:val="false"/>
          <w:sz w:val="28"/>
          <w:szCs w:val="28"/>
          <w:vertAlign w:val="subscript"/>
        </w:rPr>
        <w:t>r</w:t>
      </w:r>
      <w:r>
        <w:rPr>
          <w:rFonts w:ascii="Times New Roman" w:hAnsi="Times New Roman"/>
          <w:b w:val="false"/>
          <w:bCs w:val="false"/>
          <w:sz w:val="28"/>
          <w:szCs w:val="28"/>
        </w:rPr>
        <w:t>) і смугу пропускання для смугового та загороджувального фільтрів.</w:t>
      </w:r>
    </w:p>
    <w:p>
      <w:pPr>
        <w:pStyle w:val="BodyText"/>
        <w:numPr>
          <w:ilvl w:val="0"/>
          <w:numId w:val="4"/>
        </w:numPr>
        <w:pBdr/>
        <w:tabs>
          <w:tab w:val="clear" w:pos="720"/>
          <w:tab w:val="left" w:pos="0" w:leader="none"/>
        </w:tabs>
        <w:spacing w:lineRule="auto" w:line="273" w:before="0" w:after="140"/>
        <w:ind w:hanging="283" w:left="709" w:right="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Побудовано амплітудно-частотні характеристики (АЧХ) для кожної конфігурації.</w:t>
      </w:r>
    </w:p>
    <w:p>
      <w:pPr>
        <w:pStyle w:val="BodyText"/>
        <w:spacing w:lineRule="auto" w:line="273" w:before="0" w:after="140"/>
        <w:ind w:hanging="0" w:left="0" w:right="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Отримані результати підтвердили:</w:t>
      </w:r>
    </w:p>
    <w:p>
      <w:pPr>
        <w:pStyle w:val="BodyText"/>
        <w:numPr>
          <w:ilvl w:val="0"/>
          <w:numId w:val="5"/>
        </w:numPr>
        <w:pBdr/>
        <w:tabs>
          <w:tab w:val="clear" w:pos="720"/>
          <w:tab w:val="left" w:pos="0" w:leader="none"/>
        </w:tabs>
        <w:spacing w:lineRule="auto" w:line="273" w:before="0" w:after="140"/>
        <w:ind w:hanging="283" w:left="709" w:right="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Теоретичні залежності: Експериментально підтверджено, що характеристики усіх чотирьох типів фільтрів (АЧХ, частоти зрізу/резонансу) точно відповідають розрахунковим формулам, які залежать від параметрів резисторів та конденсаторів.</w:t>
      </w:r>
    </w:p>
    <w:p>
      <w:pPr>
        <w:pStyle w:val="BodyText"/>
        <w:numPr>
          <w:ilvl w:val="0"/>
          <w:numId w:val="5"/>
        </w:numPr>
        <w:pBdr/>
        <w:tabs>
          <w:tab w:val="clear" w:pos="720"/>
          <w:tab w:val="left" w:pos="0" w:leader="none"/>
        </w:tabs>
        <w:spacing w:lineRule="auto" w:line="273" w:before="0" w:after="140"/>
        <w:ind w:hanging="283" w:left="709" w:right="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Переваги активних фільтрів: Дослідження показало, що використання ОП дозволяє отримати необхідне підсилення сигналу в смузі пропускання (на відміну від пасивних фільтрів) та забезпечує високу точність формування спектру. Це усуває необхідність застосування громіздких і неідеальних індуктивностей, що є критично важливим для інтегральних схем та малогабаритних систем.</w:t>
      </w:r>
    </w:p>
    <w:p>
      <w:pPr>
        <w:pStyle w:val="BodyText"/>
        <w:spacing w:lineRule="auto" w:line="273" w:before="0" w:after="140"/>
        <w:ind w:hanging="0" w:left="0" w:right="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Таким чином, активні фільтри на ОП є ефективним і гнучким інструментом для точного виділення або пригнічення заданих частотних компонентів сигналу.</w:t>
      </w:r>
    </w:p>
    <w:p>
      <w:pPr>
        <w:pStyle w:val="normal1"/>
        <w:shd w:val="clear" w:fill="FFFFFF"/>
        <w:spacing w:lineRule="auto" w:line="360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hd w:val="clear" w:fill="FFFFFF"/>
        <w:spacing w:lineRule="auto" w:line="360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hd w:val="clear" w:fill="FFFFFF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417" w:right="850" w:gutter="0" w:header="0" w:top="1133" w:footer="0" w:bottom="1133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Gungsuh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1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Style8">
    <w:name w:val="Символ нумерации"/>
    <w:qFormat/>
    <w:rPr/>
  </w:style>
  <w:style w:type="character" w:styleId="Style9">
    <w:name w:val="Маркеры"/>
    <w:qFormat/>
    <w:rPr>
      <w:rFonts w:ascii="OpenSymbol" w:hAnsi="OpenSymbol" w:eastAsia="OpenSymbol" w:cs="OpenSymbol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2025-10-24T12:29:21Z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