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jc w:val="center"/>
        <w:rPr>
          <w:rFonts w:eastAsia="Times New Roman" w:cs="Times New Roman"/>
          <w:color w:val="000000"/>
          <w:szCs w:val="28"/>
        </w:rPr>
      </w:pPr>
      <w:r>
        <w:rPr>
          <w:rFonts w:eastAsia="Times New Roman" w:cs="Times New Roman"/>
          <w:color w:val="000000"/>
          <w:szCs w:val="28"/>
        </w:rPr>
        <w:t>Міністерство освіти і науки України</w:t>
      </w:r>
    </w:p>
    <w:p>
      <w:pPr>
        <w:pStyle w:val="Normal"/>
        <w:shd w:val="clear" w:color="auto" w:fill="FFFFFF"/>
        <w:jc w:val="center"/>
        <w:rPr>
          <w:rFonts w:eastAsia="Times New Roman" w:cs="Times New Roman"/>
          <w:color w:val="000000"/>
          <w:szCs w:val="28"/>
        </w:rPr>
      </w:pPr>
      <w:r>
        <w:rPr>
          <w:rFonts w:eastAsia="Times New Roman" w:cs="Times New Roman"/>
          <w:color w:val="000000"/>
          <w:szCs w:val="28"/>
        </w:rPr>
        <w:t>Національний університет «Одеська політехніка»</w:t>
      </w:r>
    </w:p>
    <w:p>
      <w:pPr>
        <w:pStyle w:val="Normal"/>
        <w:shd w:val="clear" w:color="auto" w:fill="FFFFFF"/>
        <w:jc w:val="center"/>
        <w:rPr>
          <w:rFonts w:eastAsia="Times New Roman" w:cs="Times New Roman"/>
          <w:color w:val="000000"/>
          <w:szCs w:val="28"/>
        </w:rPr>
      </w:pPr>
      <w:r>
        <w:rPr>
          <w:rFonts w:eastAsia="Times New Roman" w:cs="Times New Roman"/>
          <w:color w:val="000000"/>
          <w:szCs w:val="28"/>
        </w:rPr>
        <w:t>Навчально-науковий інститут комп’ютерних систем</w:t>
      </w:r>
    </w:p>
    <w:p>
      <w:pPr>
        <w:pStyle w:val="Normal"/>
        <w:shd w:val="clear" w:color="auto" w:fill="FFFFFF"/>
        <w:jc w:val="center"/>
        <w:rPr>
          <w:rFonts w:eastAsia="Times New Roman" w:cs="Times New Roman"/>
          <w:color w:val="000000"/>
          <w:sz w:val="24"/>
          <w:szCs w:val="24"/>
        </w:rPr>
      </w:pPr>
      <w:r>
        <w:rPr>
          <w:rFonts w:eastAsia="Times New Roman" w:cs="Times New Roman"/>
          <w:color w:val="000000"/>
          <w:szCs w:val="28"/>
        </w:rPr>
        <w:t>Кафедра інформаційних систем</w:t>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r>
    </w:p>
    <w:p>
      <w:pPr>
        <w:pStyle w:val="Normal"/>
        <w:shd w:val="clear" w:color="auto" w:fill="FFFFFF"/>
        <w:jc w:val="center"/>
        <w:rPr>
          <w:rFonts w:eastAsia="Times New Roman" w:cs="Times New Roman"/>
          <w:color w:val="000000"/>
          <w:szCs w:val="28"/>
          <w:lang w:val="ru-RU"/>
        </w:rPr>
      </w:pPr>
      <w:r>
        <w:rPr>
          <w:rFonts w:eastAsia="Times New Roman" w:cs="Times New Roman"/>
          <w:color w:val="000000"/>
          <w:szCs w:val="28"/>
        </w:rPr>
        <w:t>Лабораторна робота №</w:t>
      </w:r>
      <w:r>
        <w:rPr>
          <w:rFonts w:eastAsia="Times New Roman" w:cs="Times New Roman"/>
          <w:color w:val="000000"/>
          <w:szCs w:val="28"/>
          <w:lang w:val="ru-RU"/>
        </w:rPr>
        <w:t xml:space="preserve"> 4</w:t>
      </w:r>
    </w:p>
    <w:p>
      <w:pPr>
        <w:pStyle w:val="Normal"/>
        <w:jc w:val="center"/>
        <w:rPr>
          <w:rFonts w:eastAsia="Times New Roman" w:cs="Times New Roman"/>
          <w:color w:val="000000"/>
          <w:szCs w:val="28"/>
        </w:rPr>
      </w:pPr>
      <w:r>
        <w:rPr>
          <w:rFonts w:eastAsia="Times New Roman" w:cs="Times New Roman"/>
          <w:color w:val="000000"/>
          <w:szCs w:val="28"/>
        </w:rPr>
        <w:t>з дисципліни: «Інструментальні засоби систем ІоТ»</w:t>
      </w:r>
    </w:p>
    <w:p>
      <w:pPr>
        <w:pStyle w:val="Normal"/>
        <w:jc w:val="center"/>
        <w:rPr/>
      </w:pPr>
      <w:r>
        <w:rPr>
          <w:rFonts w:eastAsia="Times New Roman" w:cs="Times New Roman"/>
          <w:color w:val="000000"/>
          <w:szCs w:val="28"/>
        </w:rPr>
        <w:t>Тема: «</w:t>
      </w:r>
      <w:r>
        <w:rPr/>
        <w:t>Аналогові компаратор</w:t>
      </w:r>
      <w:r>
        <w:rPr>
          <w:rFonts w:eastAsia="Times New Roman" w:cs="Times New Roman"/>
          <w:color w:val="000000"/>
          <w:szCs w:val="28"/>
        </w:rPr>
        <w:t>»</w:t>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pPr>
        <w:pStyle w:val="Normal"/>
        <w:shd w:val="clear" w:color="auto" w:fill="FFFFFF"/>
        <w:rPr>
          <w:rFonts w:eastAsia="Times New Roman" w:cs="Times New Roman"/>
          <w:color w:val="000000"/>
          <w:sz w:val="24"/>
          <w:szCs w:val="24"/>
        </w:rPr>
      </w:pPr>
      <w:r>
        <w:rPr>
          <w:rFonts w:eastAsia="Times New Roman" w:cs="Times New Roman"/>
          <w:color w:val="000000"/>
          <w:sz w:val="24"/>
          <w:szCs w:val="24"/>
        </w:rPr>
      </w:r>
    </w:p>
    <w:p>
      <w:pPr>
        <w:pStyle w:val="Normal"/>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pPr>
        <w:pStyle w:val="Normal"/>
        <w:shd w:val="clear" w:color="auto" w:fill="FFFFFF"/>
        <w:jc w:val="end"/>
        <w:rPr>
          <w:rFonts w:eastAsia="Times New Roman" w:cs="Times New Roman"/>
          <w:color w:val="000000"/>
          <w:szCs w:val="28"/>
        </w:rPr>
      </w:pPr>
      <w:r>
        <w:rPr>
          <w:rFonts w:eastAsia="Times New Roman" w:cs="Times New Roman"/>
          <w:color w:val="000000"/>
          <w:szCs w:val="28"/>
        </w:rPr>
        <w:t>Виконав:</w:t>
      </w:r>
    </w:p>
    <w:p>
      <w:pPr>
        <w:pStyle w:val="Normal"/>
        <w:shd w:val="clear" w:color="auto" w:fill="FFFFFF"/>
        <w:jc w:val="end"/>
        <w:rPr>
          <w:rFonts w:eastAsia="Times New Roman" w:cs="Times New Roman"/>
          <w:color w:val="000000"/>
          <w:szCs w:val="28"/>
          <w:lang w:val="ru-RU"/>
        </w:rPr>
      </w:pPr>
      <w:r>
        <w:rPr>
          <w:rFonts w:eastAsia="Times New Roman" w:cs="Times New Roman"/>
          <w:color w:val="000000"/>
          <w:szCs w:val="28"/>
        </w:rPr>
        <w:t>Студент групи АІ-24</w:t>
      </w:r>
      <w:r>
        <w:rPr>
          <w:rFonts w:eastAsia="Times New Roman" w:cs="Times New Roman"/>
          <w:szCs w:val="28"/>
          <w:lang w:val="ru-RU"/>
        </w:rPr>
        <w:t>1</w:t>
      </w:r>
    </w:p>
    <w:p>
      <w:pPr>
        <w:pStyle w:val="Normal"/>
        <w:shd w:val="clear" w:color="auto" w:fill="FFFFFF"/>
        <w:jc w:val="end"/>
        <w:rPr>
          <w:rFonts w:eastAsia="Times New Roman" w:cs="Times New Roman"/>
          <w:szCs w:val="28"/>
        </w:rPr>
      </w:pPr>
      <w:r>
        <w:rPr>
          <w:rFonts w:eastAsia="Times New Roman" w:cs="Times New Roman"/>
          <w:szCs w:val="28"/>
          <w:lang w:val="ru-RU"/>
        </w:rPr>
        <w:t>Гаврилов</w:t>
      </w:r>
      <w:r>
        <w:rPr>
          <w:rFonts w:eastAsia="Times New Roman" w:cs="Times New Roman"/>
          <w:szCs w:val="28"/>
        </w:rPr>
        <w:t xml:space="preserve"> </w:t>
      </w:r>
      <w:r>
        <w:rPr>
          <w:rFonts w:eastAsia="Times New Roman" w:cs="Times New Roman"/>
          <w:szCs w:val="28"/>
        </w:rPr>
        <w:t>О</w:t>
      </w:r>
      <w:r>
        <w:rPr>
          <w:rFonts w:eastAsia="Times New Roman" w:cs="Times New Roman"/>
          <w:szCs w:val="28"/>
        </w:rPr>
        <w:t>.В.</w:t>
      </w:r>
    </w:p>
    <w:p>
      <w:pPr>
        <w:pStyle w:val="Normal"/>
        <w:shd w:val="clear" w:color="auto" w:fill="FFFFFF"/>
        <w:jc w:val="end"/>
        <w:rPr>
          <w:rFonts w:eastAsia="Times New Roman" w:cs="Times New Roman"/>
          <w:color w:val="000000"/>
          <w:szCs w:val="28"/>
        </w:rPr>
      </w:pPr>
      <w:r>
        <w:rPr>
          <w:rFonts w:eastAsia="Times New Roman" w:cs="Times New Roman"/>
          <w:color w:val="000000"/>
          <w:szCs w:val="28"/>
        </w:rPr>
        <w:t xml:space="preserve">Перевірили: </w:t>
      </w:r>
    </w:p>
    <w:p>
      <w:pPr>
        <w:pStyle w:val="Normal"/>
        <w:shd w:val="clear" w:color="auto" w:fill="FFFFFF"/>
        <w:jc w:val="end"/>
        <w:rPr>
          <w:rFonts w:eastAsia="Times New Roman" w:cs="Times New Roman"/>
          <w:color w:val="000000"/>
          <w:szCs w:val="28"/>
        </w:rPr>
      </w:pPr>
      <w:r>
        <w:rPr>
          <w:rFonts w:eastAsia="Times New Roman" w:cs="Times New Roman"/>
          <w:color w:val="000000"/>
          <w:szCs w:val="28"/>
        </w:rPr>
        <w:t>Ядрова М.В</w:t>
        <w:br/>
        <w:t>Костенко В.Л</w:t>
      </w:r>
    </w:p>
    <w:p>
      <w:pPr>
        <w:pStyle w:val="Normal"/>
        <w:shd w:val="clear" w:color="auto" w:fill="FFFFFF"/>
        <w:jc w:val="end"/>
        <w:rPr>
          <w:rFonts w:eastAsia="Times New Roman" w:cs="Times New Roman"/>
          <w:color w:val="000000"/>
          <w:szCs w:val="28"/>
        </w:rPr>
      </w:pPr>
      <w:r>
        <w:rPr>
          <w:rFonts w:eastAsia="Times New Roman" w:cs="Times New Roman"/>
          <w:color w:val="000000"/>
          <w:szCs w:val="28"/>
        </w:rPr>
      </w:r>
    </w:p>
    <w:p>
      <w:pPr>
        <w:pStyle w:val="Normal"/>
        <w:shd w:val="clear" w:color="auto" w:fill="FFFFFF"/>
        <w:jc w:val="end"/>
        <w:rPr>
          <w:rFonts w:eastAsia="Times New Roman" w:cs="Times New Roman"/>
          <w:color w:val="000000"/>
          <w:szCs w:val="28"/>
        </w:rPr>
      </w:pPr>
      <w:r>
        <w:rPr>
          <w:rFonts w:eastAsia="Times New Roman" w:cs="Times New Roman"/>
          <w:color w:val="000000"/>
          <w:szCs w:val="28"/>
        </w:rPr>
      </w:r>
    </w:p>
    <w:p>
      <w:pPr>
        <w:pStyle w:val="Normal"/>
        <w:shd w:val="clear" w:color="auto" w:fill="FFFFFF"/>
        <w:jc w:val="end"/>
        <w:rPr>
          <w:rFonts w:eastAsia="Times New Roman" w:cs="Times New Roman"/>
          <w:color w:val="000000"/>
          <w:szCs w:val="28"/>
        </w:rPr>
      </w:pPr>
      <w:r>
        <w:rPr>
          <w:rFonts w:eastAsia="Times New Roman" w:cs="Times New Roman"/>
          <w:color w:val="000000"/>
          <w:szCs w:val="28"/>
        </w:rPr>
      </w:r>
    </w:p>
    <w:p>
      <w:pPr>
        <w:pStyle w:val="Normal"/>
        <w:shd w:val="clear" w:color="auto" w:fill="FFFFFF"/>
        <w:jc w:val="end"/>
        <w:rPr>
          <w:rFonts w:eastAsia="Times New Roman" w:cs="Times New Roman"/>
          <w:color w:val="000000"/>
          <w:sz w:val="24"/>
          <w:szCs w:val="24"/>
        </w:rPr>
      </w:pPr>
      <w:r>
        <w:rPr>
          <w:rFonts w:eastAsia="Times New Roman" w:cs="Times New Roman"/>
          <w:color w:val="000000"/>
          <w:sz w:val="24"/>
          <w:szCs w:val="24"/>
        </w:rPr>
      </w:r>
    </w:p>
    <w:p>
      <w:pPr>
        <w:pStyle w:val="Normal"/>
        <w:shd w:val="clear" w:color="auto" w:fill="FFFFFF"/>
        <w:jc w:val="center"/>
        <w:rPr>
          <w:rFonts w:eastAsia="Times New Roman" w:cs="Times New Roman"/>
          <w:color w:val="000000"/>
          <w:szCs w:val="28"/>
        </w:rPr>
      </w:pPr>
      <w:r>
        <w:rPr>
          <w:rFonts w:eastAsia="Times New Roman" w:cs="Times New Roman"/>
          <w:color w:val="000000"/>
          <w:szCs w:val="28"/>
        </w:rPr>
      </w:r>
    </w:p>
    <w:p>
      <w:pPr>
        <w:pStyle w:val="Normal"/>
        <w:shd w:val="clear" w:color="auto" w:fill="FFFFFF"/>
        <w:jc w:val="center"/>
        <w:rPr>
          <w:rFonts w:eastAsia="Times New Roman" w:cs="Times New Roman"/>
          <w:color w:val="000000"/>
          <w:szCs w:val="28"/>
        </w:rPr>
      </w:pPr>
      <w:r>
        <w:rPr>
          <w:rFonts w:eastAsia="Times New Roman" w:cs="Times New Roman"/>
          <w:color w:val="000000"/>
          <w:szCs w:val="28"/>
        </w:rPr>
      </w:r>
    </w:p>
    <w:p>
      <w:pPr>
        <w:pStyle w:val="Normal"/>
        <w:shd w:val="clear" w:color="auto" w:fill="FFFFFF"/>
        <w:jc w:val="center"/>
        <w:rPr>
          <w:rFonts w:eastAsia="Times New Roman" w:cs="Times New Roman"/>
          <w:color w:val="000000"/>
          <w:szCs w:val="28"/>
        </w:rPr>
      </w:pPr>
      <w:r>
        <w:rPr>
          <w:rFonts w:eastAsia="Times New Roman" w:cs="Times New Roman"/>
          <w:color w:val="000000"/>
          <w:szCs w:val="28"/>
        </w:rPr>
      </w:r>
    </w:p>
    <w:p>
      <w:pPr>
        <w:pStyle w:val="Normal"/>
        <w:shd w:val="clear" w:color="auto" w:fill="FFFFFF"/>
        <w:jc w:val="center"/>
        <w:rPr>
          <w:rFonts w:eastAsia="Times New Roman" w:cs="Times New Roman"/>
          <w:color w:val="000000"/>
          <w:sz w:val="24"/>
          <w:szCs w:val="24"/>
        </w:rPr>
      </w:pPr>
      <w:r>
        <w:rPr>
          <w:rFonts w:eastAsia="Times New Roman" w:cs="Times New Roman"/>
          <w:color w:val="000000"/>
          <w:szCs w:val="28"/>
        </w:rPr>
        <w:t>Одеса 2025</w:t>
      </w:r>
    </w:p>
    <w:p>
      <w:pPr>
        <w:pStyle w:val="Normal"/>
        <w:jc w:val="start"/>
        <w:rPr>
          <w:rFonts w:eastAsia="Times New Roman" w:cs="Times New Roman"/>
          <w:b/>
          <w:color w:val="000000"/>
          <w:szCs w:val="28"/>
          <w:lang w:val="ru-RU"/>
        </w:rPr>
      </w:pPr>
      <w:r>
        <w:rPr>
          <w:rFonts w:eastAsia="Times New Roman" w:cs="Times New Roman"/>
          <w:b/>
          <w:color w:val="000000"/>
          <w:szCs w:val="28"/>
        </w:rPr>
        <w:tab/>
        <w:t>Мета роботи</w:t>
      </w:r>
      <w:r>
        <w:rPr>
          <w:rFonts w:eastAsia="Times New Roman" w:cs="Times New Roman"/>
          <w:b/>
          <w:color w:val="000000"/>
          <w:szCs w:val="28"/>
          <w:lang w:val="ru-RU"/>
        </w:rPr>
        <w:t xml:space="preserve">: </w:t>
      </w:r>
    </w:p>
    <w:p>
      <w:pPr>
        <w:pStyle w:val="Normal"/>
        <w:spacing w:lineRule="auto" w:line="240"/>
        <w:ind w:firstLine="709"/>
        <w:jc w:val="start"/>
        <w:rPr>
          <w:lang w:val="ru-RU"/>
        </w:rPr>
      </w:pPr>
      <w:r>
        <w:rPr>
          <w:lang w:val="ru-RU"/>
        </w:rPr>
        <w:t>Дослідження аналогових пристроїв порівняння (компараторів).</w:t>
      </w:r>
    </w:p>
    <w:p>
      <w:pPr>
        <w:pStyle w:val="Normal"/>
        <w:spacing w:lineRule="auto" w:line="240"/>
        <w:ind w:firstLine="709"/>
        <w:jc w:val="start"/>
        <w:rPr>
          <w:lang w:val="ru-RU"/>
        </w:rPr>
      </w:pPr>
      <w:r>
        <w:rPr>
          <w:lang w:val="ru-RU"/>
        </w:rPr>
      </w:r>
    </w:p>
    <w:p>
      <w:pPr>
        <w:pStyle w:val="Normal"/>
        <w:spacing w:lineRule="auto" w:line="240"/>
        <w:ind w:firstLine="709"/>
        <w:jc w:val="start"/>
        <w:rPr>
          <w:lang w:val="ru-RU"/>
        </w:rPr>
      </w:pPr>
      <w:r>
        <w:rPr>
          <w:rFonts w:eastAsia="Times New Roman" w:cs="Times New Roman"/>
          <w:b/>
          <w:szCs w:val="28"/>
        </w:rPr>
        <w:t>Завдання:</w:t>
      </w:r>
    </w:p>
    <w:p>
      <w:pPr>
        <w:pStyle w:val="Normal"/>
        <w:jc w:val="start"/>
        <w:rPr/>
      </w:pPr>
      <w:r>
        <w:rPr>
          <w:rFonts w:eastAsia="Times New Roman" w:cs="Times New Roman"/>
          <w:b/>
          <w:szCs w:val="28"/>
        </w:rPr>
        <w:br/>
      </w:r>
      <w:r>
        <w:rPr/>
        <w:t>1.Зібрати і дослідити схему аналогового компаратора на основі операційного підсилювача.</w:t>
      </w:r>
    </w:p>
    <w:p>
      <w:pPr>
        <w:pStyle w:val="Normal"/>
        <w:jc w:val="start"/>
        <w:rPr/>
      </w:pPr>
      <w:r>
        <w:rPr/>
        <w:t>2.Зібрати і дослідити схему аналогового компаратора на основі спеціалізованої мікросхеми.</w:t>
      </w:r>
    </w:p>
    <w:p>
      <w:pPr>
        <w:pStyle w:val="Normal"/>
        <w:rPr>
          <w:sz w:val="24"/>
        </w:rPr>
      </w:pPr>
      <w:r>
        <w:rPr/>
        <w:t>3. Зібрати і дослідити схему двопорогового аналогового компаратора</w:t>
      </w:r>
    </w:p>
    <w:p>
      <w:pPr>
        <w:pStyle w:val="Normal"/>
        <w:jc w:val="start"/>
        <w:rPr/>
      </w:pPr>
      <w:r>
        <w:rPr/>
      </w:r>
    </w:p>
    <w:p>
      <w:pPr>
        <w:pStyle w:val="Normal"/>
        <w:jc w:val="center"/>
        <w:rPr>
          <w:b/>
          <w:sz w:val="24"/>
        </w:rPr>
      </w:pPr>
      <w:r>
        <w:rPr>
          <w:b/>
          <w:sz w:val="24"/>
        </w:rPr>
        <w:t>1.</w:t>
      </w:r>
      <w:r>
        <w:rPr>
          <w:b/>
          <w:sz w:val="24"/>
          <w:lang w:val="ru-RU"/>
        </w:rPr>
        <w:t>А</w:t>
      </w:r>
      <w:r>
        <w:rPr>
          <w:b/>
          <w:sz w:val="24"/>
        </w:rPr>
        <w:t>налоговий компаратор на основі операційного підсилювача</w:t>
        <w:br/>
      </w:r>
      <w:r>
        <w:rPr/>
        <w:drawing>
          <wp:inline distT="0" distB="0" distL="0" distR="0">
            <wp:extent cx="4068445" cy="25711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4068445" cy="2571115"/>
                    </a:xfrm>
                    <a:prstGeom prst="rect">
                      <a:avLst/>
                    </a:prstGeom>
                    <a:noFill/>
                  </pic:spPr>
                </pic:pic>
              </a:graphicData>
            </a:graphic>
          </wp:inline>
        </w:drawing>
      </w:r>
    </w:p>
    <w:p>
      <w:pPr>
        <w:pStyle w:val="Normal"/>
        <w:jc w:val="center"/>
        <w:rPr>
          <w:rFonts w:eastAsia="Times New Roman" w:cs="Times New Roman"/>
          <w:sz w:val="24"/>
          <w:szCs w:val="28"/>
          <w:lang w:val="ru-RU"/>
        </w:rPr>
      </w:pPr>
      <w:r>
        <w:rPr>
          <w:rFonts w:eastAsia="Times New Roman" w:cs="Times New Roman"/>
          <w:sz w:val="24"/>
          <w:szCs w:val="28"/>
        </w:rPr>
        <w:t xml:space="preserve">Звичайна проста схема на основі о.п. </w:t>
      </w:r>
      <w:r>
        <w:rPr>
          <w:rFonts w:eastAsia="Times New Roman" w:cs="Times New Roman"/>
          <w:sz w:val="24"/>
          <w:szCs w:val="28"/>
          <w:lang w:val="en-US"/>
        </w:rPr>
        <w:t>LM324</w:t>
      </w:r>
      <w:r>
        <w:rPr>
          <w:rFonts w:eastAsia="Times New Roman" w:cs="Times New Roman"/>
          <w:sz w:val="24"/>
          <w:szCs w:val="28"/>
          <w:lang w:val="ru-RU"/>
        </w:rPr>
        <w:t xml:space="preserve">, де на </w:t>
      </w:r>
      <w:r>
        <w:rPr>
          <w:rFonts w:eastAsia="Times New Roman" w:cs="Times New Roman"/>
          <w:sz w:val="24"/>
          <w:szCs w:val="28"/>
        </w:rPr>
        <w:t xml:space="preserve">вхід у нас йде </w:t>
      </w:r>
      <w:r>
        <w:rPr>
          <w:rFonts w:eastAsia="Times New Roman" w:cs="Times New Roman"/>
          <w:sz w:val="24"/>
          <w:szCs w:val="28"/>
          <w:lang w:val="en-US"/>
        </w:rPr>
        <w:t>VSIN</w:t>
      </w:r>
      <w:r>
        <w:rPr>
          <w:rFonts w:eastAsia="Times New Roman" w:cs="Times New Roman"/>
          <w:sz w:val="24"/>
          <w:szCs w:val="28"/>
          <w:lang w:val="ru-RU"/>
        </w:rPr>
        <w:t>.</w:t>
      </w:r>
    </w:p>
    <w:p>
      <w:pPr>
        <w:pStyle w:val="Normal"/>
        <w:jc w:val="center"/>
        <w:rPr>
          <w:rFonts w:eastAsia="Times New Roman" w:cs="Times New Roman"/>
          <w:b/>
          <w:sz w:val="22"/>
          <w:szCs w:val="28"/>
        </w:rPr>
      </w:pPr>
      <w:r>
        <w:rPr/>
        <w:drawing>
          <wp:inline distT="0" distB="0" distL="0" distR="0">
            <wp:extent cx="4157345" cy="25863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
                    <a:stretch>
                      <a:fillRect/>
                    </a:stretch>
                  </pic:blipFill>
                  <pic:spPr bwMode="auto">
                    <a:xfrm>
                      <a:off x="0" y="0"/>
                      <a:ext cx="4157345" cy="2586355"/>
                    </a:xfrm>
                    <a:prstGeom prst="rect">
                      <a:avLst/>
                    </a:prstGeom>
                    <a:noFill/>
                  </pic:spPr>
                </pic:pic>
              </a:graphicData>
            </a:graphic>
          </wp:inline>
        </w:drawing>
      </w:r>
    </w:p>
    <w:p>
      <w:pPr>
        <w:pStyle w:val="Normal"/>
        <w:jc w:val="center"/>
        <w:rPr>
          <w:sz w:val="24"/>
        </w:rPr>
      </w:pPr>
      <w:r>
        <w:rPr>
          <w:sz w:val="24"/>
        </w:rPr>
        <w:t>На основі транзисторної характеристики видно, що компаратор перетворює синусоїдальний сигнал на прямокутний, перемикаючись між +15 В і –15 В у моменти, коли вхідна напруга проходить через опорне значення.</w:t>
      </w:r>
    </w:p>
    <w:p>
      <w:pPr>
        <w:pStyle w:val="Normal"/>
        <w:jc w:val="center"/>
        <w:rPr>
          <w:rFonts w:eastAsia="Times New Roman" w:cs="Times New Roman"/>
          <w:b/>
          <w:sz w:val="20"/>
          <w:szCs w:val="28"/>
        </w:rPr>
      </w:pPr>
      <w:r>
        <w:rPr/>
        <w:drawing>
          <wp:inline distT="0" distB="0" distL="0" distR="0">
            <wp:extent cx="4192270" cy="25971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4"/>
                    <a:stretch>
                      <a:fillRect/>
                    </a:stretch>
                  </pic:blipFill>
                  <pic:spPr bwMode="auto">
                    <a:xfrm>
                      <a:off x="0" y="0"/>
                      <a:ext cx="4192270" cy="2597150"/>
                    </a:xfrm>
                    <a:prstGeom prst="rect">
                      <a:avLst/>
                    </a:prstGeom>
                    <a:noFill/>
                  </pic:spPr>
                </pic:pic>
              </a:graphicData>
            </a:graphic>
          </wp:inline>
        </w:drawing>
      </w:r>
    </w:p>
    <w:p>
      <w:pPr>
        <w:pStyle w:val="Normal"/>
        <w:jc w:val="center"/>
        <w:rPr>
          <w:sz w:val="24"/>
        </w:rPr>
      </w:pPr>
      <w:r>
        <w:rPr>
          <w:sz w:val="24"/>
        </w:rPr>
        <w:t xml:space="preserve">Передатна характеристика компаратора має вигляд різкого стрибка, при якому вихідна напруга миттєво переходить із +Uпіт у –Uпіт у точці, де вхідна напруга дорівнює опорній </w:t>
      </w:r>
      <w:r>
        <w:rPr>
          <w:rStyle w:val="katex-mathml"/>
          <w:sz w:val="24"/>
        </w:rPr>
        <w:t>Uin</w:t>
      </w:r>
      <w:r>
        <w:rPr>
          <w:rStyle w:val="vlist-s"/>
          <w:sz w:val="24"/>
        </w:rPr>
        <w:t xml:space="preserve"> ​</w:t>
      </w:r>
      <w:r>
        <w:rPr>
          <w:rStyle w:val="mrel"/>
          <w:sz w:val="24"/>
        </w:rPr>
        <w:t>=</w:t>
      </w:r>
      <w:r>
        <w:rPr>
          <w:rStyle w:val="mord"/>
          <w:sz w:val="24"/>
        </w:rPr>
        <w:t>Uоп</w:t>
      </w:r>
      <w:r>
        <w:rPr>
          <w:rStyle w:val="vlist-s"/>
          <w:sz w:val="24"/>
        </w:rPr>
        <w:t>​</w:t>
      </w:r>
      <w:r>
        <w:rPr>
          <w:sz w:val="24"/>
        </w:rPr>
        <w:t>.</w:t>
      </w:r>
    </w:p>
    <w:p>
      <w:pPr>
        <w:pStyle w:val="Normal"/>
        <w:jc w:val="center"/>
        <w:rPr>
          <w:rFonts w:eastAsia="Times New Roman" w:cs="Times New Roman"/>
          <w:b/>
          <w:sz w:val="18"/>
          <w:szCs w:val="28"/>
        </w:rPr>
      </w:pPr>
      <w:r>
        <w:rPr>
          <w:rFonts w:eastAsia="Times New Roman" w:cs="Times New Roman"/>
          <w:b/>
          <w:sz w:val="18"/>
          <w:szCs w:val="28"/>
        </w:rPr>
      </w:r>
    </w:p>
    <w:p>
      <w:pPr>
        <w:pStyle w:val="Normal"/>
        <w:jc w:val="center"/>
        <w:rPr>
          <w:b/>
          <w:sz w:val="24"/>
        </w:rPr>
      </w:pPr>
      <w:r>
        <w:rPr>
          <w:b/>
          <w:sz w:val="24"/>
          <w:lang w:val="ru-RU"/>
        </w:rPr>
        <w:t>2</w:t>
      </w:r>
      <w:r>
        <w:rPr>
          <w:b/>
          <w:sz w:val="24"/>
        </w:rPr>
        <w:t>.</w:t>
      </w:r>
      <w:r>
        <w:rPr>
          <w:b/>
          <w:sz w:val="24"/>
          <w:lang w:val="ru-RU"/>
        </w:rPr>
        <w:t>А</w:t>
      </w:r>
      <w:r>
        <w:rPr>
          <w:b/>
          <w:sz w:val="24"/>
        </w:rPr>
        <w:t>налоговий компаратор на основі спеціалізованої мікросхеми.</w:t>
      </w:r>
    </w:p>
    <w:p>
      <w:pPr>
        <w:pStyle w:val="Normal"/>
        <w:jc w:val="center"/>
        <w:rPr>
          <w:rFonts w:eastAsia="Times New Roman" w:cs="Times New Roman"/>
          <w:b/>
          <w:sz w:val="18"/>
          <w:szCs w:val="28"/>
        </w:rPr>
      </w:pPr>
      <w:r>
        <w:rPr/>
        <w:drawing>
          <wp:inline distT="0" distB="0" distL="0" distR="0">
            <wp:extent cx="3587115" cy="2513330"/>
            <wp:effectExtent l="0" t="0" r="0" b="0"/>
            <wp:docPr id="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7"/>
                    <pic:cNvPicPr>
                      <a:picLocks noChangeAspect="1" noChangeArrowheads="1"/>
                    </pic:cNvPicPr>
                  </pic:nvPicPr>
                  <pic:blipFill>
                    <a:blip r:embed="rId5"/>
                    <a:stretch>
                      <a:fillRect/>
                    </a:stretch>
                  </pic:blipFill>
                  <pic:spPr bwMode="auto">
                    <a:xfrm>
                      <a:off x="0" y="0"/>
                      <a:ext cx="3587115" cy="2513330"/>
                    </a:xfrm>
                    <a:prstGeom prst="rect">
                      <a:avLst/>
                    </a:prstGeom>
                    <a:noFill/>
                  </pic:spPr>
                </pic:pic>
              </a:graphicData>
            </a:graphic>
          </wp:inline>
        </w:drawing>
      </w:r>
    </w:p>
    <w:p>
      <w:pPr>
        <w:pStyle w:val="Normal"/>
        <w:jc w:val="center"/>
        <w:rPr>
          <w:rFonts w:eastAsia="Times New Roman" w:cs="Times New Roman"/>
          <w:sz w:val="24"/>
          <w:szCs w:val="28"/>
        </w:rPr>
      </w:pPr>
      <w:r>
        <w:rPr>
          <w:rFonts w:eastAsia="Times New Roman" w:cs="Times New Roman"/>
          <w:sz w:val="24"/>
          <w:szCs w:val="28"/>
        </w:rPr>
        <w:t>Це схема аналогового компаратора на мікросхемі LM111</w:t>
      </w:r>
    </w:p>
    <w:p>
      <w:pPr>
        <w:pStyle w:val="Normal"/>
        <w:jc w:val="center"/>
        <w:rPr>
          <w:rFonts w:eastAsia="Times New Roman" w:cs="Times New Roman"/>
          <w:sz w:val="24"/>
          <w:szCs w:val="28"/>
        </w:rPr>
      </w:pPr>
      <w:r>
        <w:rPr/>
        <w:drawing>
          <wp:inline distT="0" distB="0" distL="0" distR="0">
            <wp:extent cx="4167505" cy="2607945"/>
            <wp:effectExtent l="0" t="0" r="0" b="0"/>
            <wp:docPr id="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pic:cNvPicPr>
                      <a:picLocks noChangeAspect="1" noChangeArrowheads="1"/>
                    </pic:cNvPicPr>
                  </pic:nvPicPr>
                  <pic:blipFill>
                    <a:blip r:embed="rId6"/>
                    <a:stretch>
                      <a:fillRect/>
                    </a:stretch>
                  </pic:blipFill>
                  <pic:spPr bwMode="auto">
                    <a:xfrm>
                      <a:off x="0" y="0"/>
                      <a:ext cx="4167505" cy="2607945"/>
                    </a:xfrm>
                    <a:prstGeom prst="rect">
                      <a:avLst/>
                    </a:prstGeom>
                    <a:noFill/>
                  </pic:spPr>
                </pic:pic>
              </a:graphicData>
            </a:graphic>
          </wp:inline>
        </w:drawing>
      </w:r>
    </w:p>
    <w:p>
      <w:pPr>
        <w:pStyle w:val="Normal"/>
        <w:jc w:val="center"/>
        <w:rPr>
          <w:sz w:val="24"/>
        </w:rPr>
      </w:pPr>
      <w:r>
        <w:rPr>
          <w:sz w:val="24"/>
        </w:rPr>
        <w:t xml:space="preserve">На основі осцилограми видно, що компаратор перетворює синусоїдальний сигнал на прямокутний: коли </w:t>
      </w:r>
      <w:r>
        <w:rPr>
          <w:rStyle w:val="katex-mathml"/>
          <w:sz w:val="24"/>
        </w:rPr>
        <w:t>Uin</w:t>
      </w:r>
      <w:r>
        <w:rPr>
          <w:rStyle w:val="vlist-s"/>
          <w:sz w:val="24"/>
        </w:rPr>
        <w:t xml:space="preserve"> ​</w:t>
      </w:r>
      <w:r>
        <w:rPr>
          <w:sz w:val="24"/>
        </w:rPr>
        <w:t xml:space="preserve">перевищує </w:t>
      </w:r>
      <w:r>
        <w:rPr>
          <w:rStyle w:val="katex-mathml"/>
          <w:sz w:val="24"/>
        </w:rPr>
        <w:t>Uоп</w:t>
      </w:r>
      <w:r>
        <w:rPr>
          <w:rStyle w:val="vlist-s"/>
          <w:sz w:val="24"/>
        </w:rPr>
        <w:t>​</w:t>
      </w:r>
      <w:r>
        <w:rPr>
          <w:sz w:val="24"/>
        </w:rPr>
        <w:t xml:space="preserve">, вихід переходить у високий рівень а коли </w:t>
      </w:r>
      <w:r>
        <w:rPr>
          <w:rStyle w:val="katex-mathml"/>
          <w:sz w:val="24"/>
        </w:rPr>
        <w:t>U</w:t>
      </w:r>
      <w:r>
        <w:rPr>
          <w:rStyle w:val="mord"/>
          <w:sz w:val="24"/>
        </w:rPr>
        <w:t>in</w:t>
      </w:r>
      <w:r>
        <w:rPr>
          <w:rStyle w:val="vlist-s"/>
          <w:sz w:val="24"/>
        </w:rPr>
        <w:t>​</w:t>
      </w:r>
      <w:r>
        <w:rPr>
          <w:sz w:val="24"/>
        </w:rPr>
        <w:t xml:space="preserve"> менше за </w:t>
      </w:r>
      <w:r>
        <w:rPr>
          <w:rStyle w:val="katex-mathml"/>
          <w:sz w:val="24"/>
        </w:rPr>
        <w:t>U</w:t>
      </w:r>
      <w:r>
        <w:rPr>
          <w:rStyle w:val="mord"/>
          <w:sz w:val="24"/>
        </w:rPr>
        <w:t>оп</w:t>
      </w:r>
      <w:r>
        <w:rPr>
          <w:rStyle w:val="vlist-s"/>
          <w:sz w:val="24"/>
        </w:rPr>
        <w:t>​</w:t>
      </w:r>
      <w:r>
        <w:rPr>
          <w:sz w:val="24"/>
        </w:rPr>
        <w:t xml:space="preserve"> — у низький.</w:t>
      </w:r>
    </w:p>
    <w:p>
      <w:pPr>
        <w:pStyle w:val="Normal"/>
        <w:jc w:val="center"/>
        <w:rPr>
          <w:rFonts w:eastAsia="Times New Roman" w:cs="Times New Roman"/>
          <w:sz w:val="22"/>
          <w:szCs w:val="28"/>
        </w:rPr>
      </w:pPr>
      <w:r>
        <w:rPr/>
        <w:drawing>
          <wp:inline distT="0" distB="0" distL="0" distR="0">
            <wp:extent cx="5315585" cy="3298825"/>
            <wp:effectExtent l="0" t="0" r="0" b="0"/>
            <wp:docPr id="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2"/>
                    <pic:cNvPicPr>
                      <a:picLocks noChangeAspect="1" noChangeArrowheads="1"/>
                    </pic:cNvPicPr>
                  </pic:nvPicPr>
                  <pic:blipFill>
                    <a:blip r:embed="rId7"/>
                    <a:stretch>
                      <a:fillRect/>
                    </a:stretch>
                  </pic:blipFill>
                  <pic:spPr bwMode="auto">
                    <a:xfrm>
                      <a:off x="0" y="0"/>
                      <a:ext cx="5315585" cy="3298825"/>
                    </a:xfrm>
                    <a:prstGeom prst="rect">
                      <a:avLst/>
                    </a:prstGeom>
                    <a:noFill/>
                  </pic:spPr>
                </pic:pic>
              </a:graphicData>
            </a:graphic>
          </wp:inline>
        </w:drawing>
      </w:r>
    </w:p>
    <w:p>
      <w:pPr>
        <w:pStyle w:val="NormalWeb"/>
        <w:spacing w:before="280" w:after="280"/>
        <w:jc w:val="center"/>
        <w:rPr>
          <w:lang w:val="uk-UA"/>
        </w:rPr>
      </w:pPr>
      <w:r>
        <w:rPr>
          <w:lang w:val="uk-UA"/>
        </w:rPr>
        <w:t xml:space="preserve">На основі передатної характеристики видно, що компаратор перемикає вихідний сигнал з 0 В на +5 В у точці, де вхідна напруга </w:t>
      </w:r>
      <w:r>
        <w:rPr>
          <w:rStyle w:val="katex-mathml"/>
          <w:lang w:val="uk-UA"/>
        </w:rPr>
        <w:t>Uin</w:t>
      </w:r>
      <w:r>
        <w:rPr>
          <w:rStyle w:val="vlist-s"/>
          <w:lang w:val="uk-UA"/>
        </w:rPr>
        <w:t>​</w:t>
      </w:r>
      <w:r>
        <w:rPr>
          <w:lang w:val="uk-UA"/>
        </w:rPr>
        <w:t xml:space="preserve"> дорівнює опорній </w:t>
      </w:r>
      <w:r>
        <w:rPr>
          <w:rStyle w:val="katex-mathml"/>
          <w:lang w:val="uk-UA"/>
        </w:rPr>
        <w:t>Uоп</w:t>
      </w:r>
      <w:r>
        <w:rPr>
          <w:rStyle w:val="vlist-s"/>
          <w:lang w:val="uk-UA"/>
        </w:rPr>
        <w:t xml:space="preserve"> ​</w:t>
      </w:r>
      <w:r>
        <w:rPr>
          <w:lang w:val="uk-UA"/>
        </w:rPr>
        <w:t>, тобто виконує чітке порівняння сигналів.</w:t>
      </w:r>
    </w:p>
    <w:p>
      <w:pPr>
        <w:pStyle w:val="Normal"/>
        <w:jc w:val="center"/>
        <w:rPr>
          <w:b/>
          <w:sz w:val="24"/>
        </w:rPr>
      </w:pPr>
      <w:r>
        <w:rPr>
          <w:b/>
        </w:rPr>
        <w:t xml:space="preserve">3. </w:t>
      </w:r>
      <w:r>
        <w:rPr>
          <w:b/>
          <w:lang w:val="ru-RU"/>
        </w:rPr>
        <w:t>Д</w:t>
      </w:r>
      <w:r>
        <w:rPr>
          <w:b/>
        </w:rPr>
        <w:t>вопороговий аналогов</w:t>
      </w:r>
      <w:r>
        <w:rPr>
          <w:b/>
          <w:lang w:val="ru-RU"/>
        </w:rPr>
        <w:t xml:space="preserve">ий </w:t>
      </w:r>
      <w:r>
        <w:rPr>
          <w:b/>
        </w:rPr>
        <w:t>компаратор</w:t>
      </w:r>
    </w:p>
    <w:p>
      <w:pPr>
        <w:pStyle w:val="NormalWeb"/>
        <w:spacing w:before="280" w:after="280"/>
        <w:jc w:val="center"/>
        <w:rPr>
          <w:lang w:val="uk-UA"/>
        </w:rPr>
      </w:pPr>
      <w:r>
        <w:rPr/>
        <w:drawing>
          <wp:inline distT="0" distB="0" distL="0" distR="0">
            <wp:extent cx="5630545" cy="449580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pic:cNvPicPr>
                      <a:picLocks noChangeAspect="1" noChangeArrowheads="1"/>
                    </pic:cNvPicPr>
                  </pic:nvPicPr>
                  <pic:blipFill>
                    <a:blip r:embed="rId8"/>
                    <a:stretch>
                      <a:fillRect/>
                    </a:stretch>
                  </pic:blipFill>
                  <pic:spPr bwMode="auto">
                    <a:xfrm>
                      <a:off x="0" y="0"/>
                      <a:ext cx="5630545" cy="4495800"/>
                    </a:xfrm>
                    <a:prstGeom prst="rect">
                      <a:avLst/>
                    </a:prstGeom>
                    <a:noFill/>
                  </pic:spPr>
                </pic:pic>
              </a:graphicData>
            </a:graphic>
          </wp:inline>
        </w:drawing>
      </w:r>
    </w:p>
    <w:p>
      <w:pPr>
        <w:pStyle w:val="Normal"/>
        <w:jc w:val="center"/>
        <w:rPr>
          <w:rFonts w:eastAsia="Times New Roman" w:cs="Times New Roman"/>
          <w:sz w:val="24"/>
          <w:szCs w:val="28"/>
        </w:rPr>
      </w:pPr>
      <w:r>
        <w:rPr>
          <w:rFonts w:eastAsia="Times New Roman" w:cs="Times New Roman"/>
          <w:sz w:val="24"/>
          <w:szCs w:val="28"/>
        </w:rPr>
        <w:t>Це схема двопорогового аналогового компаратора на мікросхемах LM111</w:t>
      </w:r>
    </w:p>
    <w:p>
      <w:pPr>
        <w:pStyle w:val="NormalWeb"/>
        <w:spacing w:before="280" w:after="280"/>
        <w:jc w:val="center"/>
        <w:rPr>
          <w:lang w:val="uk-UA"/>
        </w:rPr>
      </w:pPr>
      <w:r>
        <w:rPr/>
        <w:drawing>
          <wp:inline distT="0" distB="0" distL="0" distR="0">
            <wp:extent cx="6645910" cy="4081780"/>
            <wp:effectExtent l="0" t="0" r="0" b="0"/>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5"/>
                    <pic:cNvPicPr>
                      <a:picLocks noChangeAspect="1" noChangeArrowheads="1"/>
                    </pic:cNvPicPr>
                  </pic:nvPicPr>
                  <pic:blipFill>
                    <a:blip r:embed="rId9"/>
                    <a:stretch>
                      <a:fillRect/>
                    </a:stretch>
                  </pic:blipFill>
                  <pic:spPr bwMode="auto">
                    <a:xfrm>
                      <a:off x="0" y="0"/>
                      <a:ext cx="6645910" cy="4081780"/>
                    </a:xfrm>
                    <a:prstGeom prst="rect">
                      <a:avLst/>
                    </a:prstGeom>
                    <a:noFill/>
                  </pic:spPr>
                </pic:pic>
              </a:graphicData>
            </a:graphic>
          </wp:inline>
        </w:drawing>
      </w:r>
    </w:p>
    <w:p>
      <w:pPr>
        <w:pStyle w:val="NormalWeb"/>
        <w:spacing w:lineRule="auto" w:line="360" w:before="0" w:after="0"/>
        <w:ind w:firstLine="709"/>
        <w:jc w:val="both"/>
        <w:rPr/>
      </w:pPr>
      <w:r>
        <w:rPr/>
        <w:t>На ДС-свіпі для двопорогового компаратора на LM111 видно, що при плавному зростанні Uin вихід різко перемикається в околі двох фіксованих рівнів – нижнього порога ~1 В (V(porog1)) і верхнього порога ~3 В (V(porog2)).</w:t>
        <w:br/>
        <w:t>За Uin &lt; V(porog1) вихід утримується біля 0 В, при досягненні нижнього порога стрибком переходить у високий рівень ~5 В і залишається там, доки Uin не перевищить верхній поріг, після чого знову різко падає до 0 В. Таким чином передатна характеристика має вигляд «вікна»: компаратор пропускає висо</w:t>
      </w:r>
      <w:bookmarkStart w:id="0" w:name="_GoBack"/>
      <w:bookmarkEnd w:id="0"/>
      <w:r>
        <w:rPr/>
        <w:t>кий рівень лише тоді, коли вхідна напруга лежить між двома порогами.</w:t>
      </w:r>
    </w:p>
    <w:p>
      <w:pPr>
        <w:pStyle w:val="NormalWeb"/>
        <w:spacing w:lineRule="auto" w:line="360" w:before="0" w:after="0"/>
        <w:ind w:firstLine="709"/>
        <w:jc w:val="both"/>
        <w:rPr>
          <w:lang w:val="uk-UA"/>
        </w:rPr>
      </w:pPr>
      <w:r>
        <w:rPr>
          <w:lang w:val="uk-UA"/>
        </w:rPr>
      </w:r>
    </w:p>
    <w:p>
      <w:pPr>
        <w:pStyle w:val="Normal"/>
        <w:spacing w:lineRule="auto" w:line="360" w:before="0" w:after="0"/>
        <w:ind w:firstLine="709"/>
        <w:jc w:val="both"/>
        <w:rPr/>
      </w:pPr>
      <w:r>
        <w:rPr>
          <w:rFonts w:eastAsia="Times New Roman" w:cs="Times New Roman"/>
          <w:b/>
          <w:szCs w:val="28"/>
        </w:rPr>
        <w:softHyphen/>
      </w:r>
      <w:r>
        <w:rPr>
          <w:rFonts w:eastAsia="Times New Roman" w:cs="Times New Roman"/>
          <w:b/>
          <w:szCs w:val="28"/>
          <w:lang w:val="ru-RU"/>
        </w:rPr>
        <w:t>Висновок</w:t>
      </w:r>
      <w:r>
        <w:rPr>
          <w:rFonts w:eastAsia="Times New Roman" w:cs="Times New Roman"/>
          <w:b/>
          <w:szCs w:val="28"/>
          <w:vertAlign w:val="subscript"/>
          <w:lang w:val="ru-RU"/>
        </w:rPr>
        <w:softHyphen/>
        <w:softHyphen/>
      </w:r>
      <w:r>
        <w:rPr>
          <w:rFonts w:eastAsia="Times New Roman" w:cs="Times New Roman"/>
          <w:b/>
          <w:szCs w:val="28"/>
          <w:lang w:val="ru-RU"/>
        </w:rPr>
        <w:softHyphen/>
        <w:softHyphen/>
        <w:softHyphen/>
        <w:softHyphen/>
        <w:softHyphen/>
      </w:r>
      <w:r>
        <w:rPr>
          <w:rFonts w:eastAsia="Times New Roman" w:cs="Times New Roman"/>
          <w:b/>
          <w:szCs w:val="28"/>
          <w:vertAlign w:val="subscript"/>
          <w:lang w:val="ru-RU"/>
        </w:rPr>
        <w:softHyphen/>
      </w:r>
      <w:r>
        <w:rPr>
          <w:rFonts w:eastAsia="Times New Roman" w:cs="Times New Roman"/>
          <w:b/>
          <w:szCs w:val="28"/>
          <w:lang w:val="ru-RU"/>
        </w:rPr>
        <w:softHyphen/>
        <w:t xml:space="preserve">: </w:t>
      </w:r>
      <w:r>
        <w:rPr>
          <w:rFonts w:eastAsia="Times New Roman" w:cs="Times New Roman"/>
          <w:b w:val="false"/>
          <w:bCs w:val="false"/>
          <w:szCs w:val="28"/>
          <w:lang w:val="ru-RU"/>
        </w:rPr>
        <w:t>У ході роботи було досліджено три види компараторних схем: компаратор на операційному підсилювачі LM324, компаратор на спеціалізованій мікросхемі LM111 та двопороговий компаратор на базі LM111. Експериментальні результати підтвердили, що всі схеми правильно виконують порівняння сигналів та формують прямокутний вихід при проходженні вхідною напругою встановлених порогів.</w:t>
      </w:r>
    </w:p>
    <w:p>
      <w:pPr>
        <w:pStyle w:val="BodyText"/>
        <w:spacing w:lineRule="auto" w:line="360"/>
        <w:jc w:val="both"/>
        <w:rPr>
          <w:rFonts w:eastAsia="Times New Roman" w:cs="Times New Roman"/>
          <w:b w:val="false"/>
          <w:bCs w:val="false"/>
          <w:szCs w:val="28"/>
          <w:lang w:val="ru-RU"/>
        </w:rPr>
      </w:pPr>
      <w:r>
        <w:rPr>
          <w:rFonts w:eastAsia="Times New Roman" w:cs="Times New Roman"/>
          <w:b w:val="false"/>
          <w:bCs w:val="false"/>
          <w:szCs w:val="28"/>
          <w:lang w:val="ru-RU"/>
        </w:rPr>
        <w:t>Компаратор на LM324 забезпечує перемикання між рівнями живлення ±15 В, проте поступається за точністю та швидкодією через конструктивні обмеження ОП. Спеціалізований компаратор LM111 формує чіткі логічні рівні 0…5 В і демонструє більш стабільний та різкий перехід. Двопороговий компаратор на LM111 створює ефект гістерезису: вихідний сигнал змінюється лише всередині визначеного діапазону вхідних напруг, завдяки чому схема працює стійко і менш чутлива до завад.</w:t>
      </w:r>
    </w:p>
    <w:p>
      <w:pPr>
        <w:pStyle w:val="BodyText"/>
        <w:spacing w:lineRule="auto" w:line="360"/>
        <w:jc w:val="both"/>
        <w:rPr>
          <w:rFonts w:eastAsia="Times New Roman" w:cs="Times New Roman"/>
          <w:b w:val="false"/>
          <w:bCs w:val="false"/>
          <w:szCs w:val="28"/>
          <w:lang w:val="ru-RU"/>
        </w:rPr>
      </w:pPr>
      <w:r>
        <w:rPr>
          <w:rFonts w:eastAsia="Times New Roman" w:cs="Times New Roman"/>
          <w:b w:val="false"/>
          <w:bCs w:val="false"/>
          <w:szCs w:val="28"/>
          <w:lang w:val="ru-RU"/>
        </w:rPr>
        <w:t>Отже, спеціалізовані компаратори мають вищу точність і швидкість перемикання, а реалізація двох порогів дозволяє отримати «віконну» характеристику з підвищеною надійністю та стабільністю роботи.</w:t>
      </w:r>
    </w:p>
    <w:p>
      <w:pPr>
        <w:pStyle w:val="Normal"/>
        <w:spacing w:lineRule="auto" w:line="360" w:before="0" w:after="0"/>
        <w:ind w:firstLine="709"/>
        <w:jc w:val="both"/>
        <w:rPr>
          <w:rFonts w:eastAsia="Times New Roman" w:cs="Times New Roman"/>
          <w:b w:val="false"/>
          <w:bCs w:val="false"/>
          <w:szCs w:val="28"/>
          <w:lang w:val="ru-RU"/>
        </w:rPr>
      </w:pPr>
      <w:r>
        <w:rPr>
          <w:rFonts w:eastAsia="Times New Roman" w:cs="Times New Roman"/>
          <w:b w:val="false"/>
          <w:bCs w:val="false"/>
          <w:szCs w:val="28"/>
          <w:lang w:val="ru-RU"/>
        </w:rPr>
      </w:r>
    </w:p>
    <w:sectPr>
      <w:headerReference w:type="even" r:id="rId10"/>
      <w:headerReference w:type="default" r:id="rId11"/>
      <w:headerReference w:type="first" r:id="rId12"/>
      <w:type w:val="nextPage"/>
      <w:pgSz w:w="11906" w:h="16838"/>
      <w:pgMar w:left="720" w:right="720" w:gutter="0" w:header="567" w:top="720" w:footer="0" w:bottom="720"/>
      <w:pgNumType w:start="1"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Segoe UI">
    <w:charset w:val="01"/>
    <w:family w:val="swiss"/>
    <w:pitch w:val="default"/>
  </w:font>
  <w:font w:name="Courier New">
    <w:charset w:val="01"/>
    <w:family w:val="swiss"/>
    <w:pitch w:val="default"/>
  </w:font>
  <w:font w:name="Arial">
    <w:charset w:val="01"/>
    <w:family w:val="swiss"/>
    <w:pitch w:val="default"/>
  </w:font>
  <w:font w:name="Georgia">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spacing w:lineRule="auto" w:line="240"/>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677" w:leader="none"/>
        <w:tab w:val="right" w:pos="9355" w:leader="none"/>
      </w:tabs>
      <w:spacing w:lineRule="auto" w:line="240"/>
      <w:ind w:end="360"/>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spacing w:lineRule="auto" w:line="240"/>
      <w:ind w:end="360"/>
      <w:rPr>
        <w:rFonts w:eastAsia="Times New Roman" w:cs="Times New Roman"/>
        <w:color w:val="000000"/>
        <w:sz w:val="24"/>
        <w:szCs w:val="24"/>
      </w:rPr>
    </w:pPr>
    <w:r>
      <w:rPr>
        <w:rFonts w:eastAsia="Times New Roman" w:cs="Times New Roman"/>
        <w:color w:val="000000"/>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uk-UA"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e736a"/>
    <w:pPr>
      <w:widowControl/>
      <w:suppressAutoHyphens w:val="true"/>
      <w:bidi w:val="0"/>
      <w:spacing w:lineRule="auto" w:line="360" w:before="0" w:after="0"/>
      <w:jc w:val="both"/>
    </w:pPr>
    <w:rPr>
      <w:rFonts w:ascii="Times New Roman" w:hAnsi="Times New Roman" w:eastAsia="Calibri" w:cs="Calibri"/>
      <w:color w:val="auto"/>
      <w:kern w:val="0"/>
      <w:sz w:val="28"/>
      <w:szCs w:val="22"/>
      <w:lang w:val="uk-UA" w:eastAsia="ru-RU"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Style8" w:customStyle="1">
    <w:name w:val="Нижний колонтитул Знак"/>
    <w:basedOn w:val="DefaultParagraphFont"/>
    <w:uiPriority w:val="99"/>
    <w:qFormat/>
    <w:rsid w:val="009a5fe2"/>
    <w:rPr>
      <w:rFonts w:ascii="Times New Roman" w:hAnsi="Times New Roman"/>
      <w:sz w:val="28"/>
    </w:rPr>
  </w:style>
  <w:style w:type="character" w:styleId="Style9" w:customStyle="1">
    <w:name w:val="Верхний колонтитул Знак"/>
    <w:basedOn w:val="DefaultParagraphFont"/>
    <w:uiPriority w:val="99"/>
    <w:qFormat/>
    <w:rsid w:val="009a5fe2"/>
    <w:rPr>
      <w:rFonts w:ascii="Times New Roman" w:hAnsi="Times New Roman"/>
      <w:sz w:val="28"/>
    </w:rPr>
  </w:style>
  <w:style w:type="character" w:styleId="Hyperlink">
    <w:name w:val="Hyperlink"/>
    <w:basedOn w:val="DefaultParagraphFont"/>
    <w:uiPriority w:val="99"/>
    <w:unhideWhenUsed/>
    <w:rsid w:val="00116c47"/>
    <w:rPr>
      <w:color w:themeColor="hyperlink" w:val="0000FF"/>
      <w:u w:val="single"/>
    </w:rPr>
  </w:style>
  <w:style w:type="character" w:styleId="Strong">
    <w:name w:val="Strong"/>
    <w:basedOn w:val="DefaultParagraphFont"/>
    <w:uiPriority w:val="22"/>
    <w:qFormat/>
    <w:rsid w:val="00d46841"/>
    <w:rPr>
      <w:b/>
      <w:bCs/>
    </w:rPr>
  </w:style>
  <w:style w:type="character" w:styleId="katex-mathml" w:customStyle="1">
    <w:name w:val="katex-mathml"/>
    <w:basedOn w:val="DefaultParagraphFont"/>
    <w:qFormat/>
    <w:rsid w:val="00d46841"/>
    <w:rPr/>
  </w:style>
  <w:style w:type="character" w:styleId="mord" w:customStyle="1">
    <w:name w:val="mord"/>
    <w:basedOn w:val="DefaultParagraphFont"/>
    <w:qFormat/>
    <w:rsid w:val="00d46841"/>
    <w:rPr/>
  </w:style>
  <w:style w:type="character" w:styleId="Style10" w:customStyle="1">
    <w:name w:val="Текст выноски Знак"/>
    <w:basedOn w:val="DefaultParagraphFont"/>
    <w:link w:val="BalloonText"/>
    <w:uiPriority w:val="99"/>
    <w:semiHidden/>
    <w:qFormat/>
    <w:rsid w:val="00d46841"/>
    <w:rPr>
      <w:rFonts w:ascii="Segoe UI" w:hAnsi="Segoe UI" w:cs="Segoe UI"/>
      <w:sz w:val="18"/>
      <w:szCs w:val="18"/>
    </w:rPr>
  </w:style>
  <w:style w:type="character" w:styleId="PlaceholderText">
    <w:name w:val="Placeholder Text"/>
    <w:basedOn w:val="DefaultParagraphFont"/>
    <w:uiPriority w:val="99"/>
    <w:semiHidden/>
    <w:qFormat/>
    <w:rsid w:val="00d46841"/>
    <w:rPr>
      <w:color w:val="808080"/>
    </w:rPr>
  </w:style>
  <w:style w:type="character" w:styleId="mopen" w:customStyle="1">
    <w:name w:val="mopen"/>
    <w:basedOn w:val="DefaultParagraphFont"/>
    <w:qFormat/>
    <w:rsid w:val="0006443b"/>
    <w:rPr/>
  </w:style>
  <w:style w:type="character" w:styleId="mclose" w:customStyle="1">
    <w:name w:val="mclose"/>
    <w:basedOn w:val="DefaultParagraphFont"/>
    <w:qFormat/>
    <w:rsid w:val="0006443b"/>
    <w:rPr/>
  </w:style>
  <w:style w:type="character" w:styleId="FollowedHyperlink">
    <w:name w:val="FollowedHyperlink"/>
    <w:basedOn w:val="DefaultParagraphFont"/>
    <w:uiPriority w:val="99"/>
    <w:semiHidden/>
    <w:unhideWhenUsed/>
    <w:rsid w:val="00f74d90"/>
    <w:rPr>
      <w:color w:themeColor="followedHyperlink" w:val="800080"/>
      <w:u w:val="single"/>
    </w:rPr>
  </w:style>
  <w:style w:type="character" w:styleId="HTML" w:customStyle="1">
    <w:name w:val="Стандартный HTML Знак"/>
    <w:basedOn w:val="DefaultParagraphFont"/>
    <w:link w:val="HTMLPreformatted"/>
    <w:uiPriority w:val="99"/>
    <w:qFormat/>
    <w:rsid w:val="006f4d37"/>
    <w:rPr>
      <w:rFonts w:ascii="Courier New" w:hAnsi="Courier New" w:eastAsia="Times New Roman" w:cs="Courier New"/>
      <w:sz w:val="20"/>
      <w:szCs w:val="20"/>
      <w:lang w:val="ru-RU"/>
    </w:rPr>
  </w:style>
  <w:style w:type="character" w:styleId="HTMLCode">
    <w:name w:val="HTML Code"/>
    <w:basedOn w:val="DefaultParagraphFont"/>
    <w:uiPriority w:val="99"/>
    <w:semiHidden/>
    <w:unhideWhenUsed/>
    <w:qFormat/>
    <w:rsid w:val="006f4d37"/>
    <w:rPr>
      <w:rFonts w:ascii="Courier New" w:hAnsi="Courier New" w:eastAsia="Times New Roman" w:cs="Courier New"/>
      <w:sz w:val="20"/>
      <w:szCs w:val="20"/>
    </w:rPr>
  </w:style>
  <w:style w:type="character" w:styleId="hljs-selector-tag" w:customStyle="1">
    <w:name w:val="hljs-selector-tag"/>
    <w:basedOn w:val="DefaultParagraphFont"/>
    <w:qFormat/>
    <w:rsid w:val="006f4d37"/>
    <w:rPr/>
  </w:style>
  <w:style w:type="character" w:styleId="hljs-selector-attr" w:customStyle="1">
    <w:name w:val="hljs-selector-attr"/>
    <w:basedOn w:val="DefaultParagraphFont"/>
    <w:qFormat/>
    <w:rsid w:val="006f4d37"/>
    <w:rPr/>
  </w:style>
  <w:style w:type="character" w:styleId="hljs-number" w:customStyle="1">
    <w:name w:val="hljs-number"/>
    <w:basedOn w:val="DefaultParagraphFont"/>
    <w:qFormat/>
    <w:rsid w:val="006f4d37"/>
    <w:rPr/>
  </w:style>
  <w:style w:type="character" w:styleId="hljs-comment" w:customStyle="1">
    <w:name w:val="hljs-comment"/>
    <w:basedOn w:val="DefaultParagraphFont"/>
    <w:qFormat/>
    <w:rsid w:val="006f4d37"/>
    <w:rPr/>
  </w:style>
  <w:style w:type="character" w:styleId="Emphasis">
    <w:name w:val="Emphasis"/>
    <w:basedOn w:val="DefaultParagraphFont"/>
    <w:uiPriority w:val="20"/>
    <w:qFormat/>
    <w:rsid w:val="006f4d37"/>
    <w:rPr>
      <w:i/>
      <w:iCs/>
    </w:rPr>
  </w:style>
  <w:style w:type="character" w:styleId="mpunct" w:customStyle="1">
    <w:name w:val="mpunct"/>
    <w:basedOn w:val="DefaultParagraphFont"/>
    <w:qFormat/>
    <w:rsid w:val="005e77d2"/>
    <w:rPr/>
  </w:style>
  <w:style w:type="character" w:styleId="vlist-s" w:customStyle="1">
    <w:name w:val="vlist-s"/>
    <w:basedOn w:val="DefaultParagraphFont"/>
    <w:qFormat/>
    <w:rsid w:val="005e77d2"/>
    <w:rPr/>
  </w:style>
  <w:style w:type="character" w:styleId="mrel" w:customStyle="1">
    <w:name w:val="mrel"/>
    <w:basedOn w:val="DefaultParagraphFont"/>
    <w:qFormat/>
    <w:rsid w:val="005e77d2"/>
    <w:rPr/>
  </w:style>
  <w:style w:type="character" w:styleId="mspace" w:customStyle="1">
    <w:name w:val="mspace"/>
    <w:basedOn w:val="DefaultParagraphFont"/>
    <w:qFormat/>
    <w:rsid w:val="007d1f80"/>
    <w:rPr/>
  </w:style>
  <w:style w:type="paragraph" w:styleId="Style11">
    <w:name w:val="Заголовок"/>
    <w:basedOn w:val="Normal"/>
    <w:next w:val="BodyText"/>
    <w:qFormat/>
    <w:pPr>
      <w:keepNext w:val="true"/>
      <w:spacing w:before="240" w:after="120"/>
    </w:pPr>
    <w:rPr>
      <w:rFonts w:ascii="Arial" w:hAnsi="Arial"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Style12">
    <w:name w:val="Указатель"/>
    <w:basedOn w:val="Normal"/>
    <w:qFormat/>
    <w:pPr>
      <w:suppressLineNumbers/>
    </w:pPr>
    <w:rPr>
      <w:rFonts w:ascii="Times New Roman" w:hAnsi="Times New Roman" w:cs="Noto Sans Devanagari"/>
    </w:rPr>
  </w:style>
  <w:style w:type="paragraph" w:styleId="user">
    <w:name w:val="Заголовок (user)"/>
    <w:basedOn w:val="Normal"/>
    <w:next w:val="BodyText"/>
    <w:qFormat/>
    <w:pPr>
      <w:keepNext w:val="true"/>
      <w:spacing w:before="240" w:after="120"/>
    </w:pPr>
    <w:rPr>
      <w:rFonts w:ascii="Arial" w:hAnsi="Arial" w:eastAsia="Noto Sans CJK SC" w:cs="Noto Sans Devanagari"/>
      <w:sz w:val="28"/>
      <w:szCs w:val="28"/>
    </w:rPr>
  </w:style>
  <w:style w:type="paragraph" w:styleId="user1">
    <w:name w:val="Указатель (user)"/>
    <w:basedOn w:val="Normal"/>
    <w:qFormat/>
    <w:pPr>
      <w:suppressLineNumbers/>
    </w:pPr>
    <w:rPr>
      <w:rFonts w:ascii="Times New Roman" w:hAnsi="Times New Roman"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user2">
    <w:name w:val="Колонтитулы (user)"/>
    <w:basedOn w:val="Normal"/>
    <w:qFormat/>
    <w:pPr/>
    <w:rPr/>
  </w:style>
  <w:style w:type="paragraph" w:styleId="Style13">
    <w:name w:val="Колонтитулы"/>
    <w:basedOn w:val="Normal"/>
    <w:qFormat/>
    <w:pPr/>
    <w:rPr/>
  </w:style>
  <w:style w:type="paragraph" w:styleId="Footer">
    <w:name w:val="footer"/>
    <w:basedOn w:val="Normal"/>
    <w:link w:val="Style8"/>
    <w:uiPriority w:val="99"/>
    <w:unhideWhenUsed/>
    <w:rsid w:val="009a5fe2"/>
    <w:pPr>
      <w:tabs>
        <w:tab w:val="clear" w:pos="720"/>
        <w:tab w:val="center" w:pos="4677" w:leader="none"/>
        <w:tab w:val="right" w:pos="9355" w:leader="none"/>
      </w:tabs>
      <w:spacing w:lineRule="auto" w:line="240"/>
    </w:pPr>
    <w:rPr/>
  </w:style>
  <w:style w:type="paragraph" w:styleId="Header">
    <w:name w:val="header"/>
    <w:basedOn w:val="Normal"/>
    <w:link w:val="Style9"/>
    <w:uiPriority w:val="99"/>
    <w:unhideWhenUsed/>
    <w:rsid w:val="009a5fe2"/>
    <w:pPr>
      <w:tabs>
        <w:tab w:val="clear" w:pos="720"/>
        <w:tab w:val="center" w:pos="4677" w:leader="none"/>
        <w:tab w:val="right" w:pos="9355" w:leader="none"/>
      </w:tabs>
      <w:spacing w:lineRule="auto" w:line="240"/>
    </w:pPr>
    <w:rPr/>
  </w:style>
  <w:style w:type="paragraph" w:styleId="ListParagraph">
    <w:name w:val="List Paragraph"/>
    <w:basedOn w:val="Normal"/>
    <w:uiPriority w:val="34"/>
    <w:qFormat/>
    <w:rsid w:val="00fb4572"/>
    <w:pPr>
      <w:spacing w:before="0" w:after="0"/>
      <w:ind w:start="720"/>
      <w:contextualSpacing/>
    </w:pPr>
    <w:rPr/>
  </w:style>
  <w:style w:type="paragraph" w:styleId="NormalWeb">
    <w:name w:val="Normal (Web)"/>
    <w:basedOn w:val="Normal"/>
    <w:uiPriority w:val="99"/>
    <w:unhideWhenUsed/>
    <w:qFormat/>
    <w:rsid w:val="00d46841"/>
    <w:pPr>
      <w:spacing w:lineRule="auto" w:line="240" w:beforeAutospacing="1" w:afterAutospacing="1"/>
      <w:jc w:val="start"/>
    </w:pPr>
    <w:rPr>
      <w:rFonts w:eastAsia="Times New Roman" w:cs="Times New Roman"/>
      <w:sz w:val="24"/>
      <w:szCs w:val="24"/>
      <w:lang w:val="ru-RU"/>
    </w:rPr>
  </w:style>
  <w:style w:type="paragraph" w:styleId="BalloonText">
    <w:name w:val="Balloon Text"/>
    <w:basedOn w:val="Normal"/>
    <w:link w:val="Style10"/>
    <w:uiPriority w:val="99"/>
    <w:semiHidden/>
    <w:unhideWhenUsed/>
    <w:qFormat/>
    <w:rsid w:val="00d46841"/>
    <w:pPr>
      <w:spacing w:lineRule="auto" w:line="240"/>
    </w:pPr>
    <w:rPr>
      <w:rFonts w:ascii="Segoe UI" w:hAnsi="Segoe UI" w:cs="Segoe UI"/>
      <w:sz w:val="18"/>
      <w:szCs w:val="18"/>
    </w:rPr>
  </w:style>
  <w:style w:type="paragraph" w:styleId="NoSpacing">
    <w:name w:val="No Spacing"/>
    <w:uiPriority w:val="1"/>
    <w:qFormat/>
    <w:rsid w:val="00d46841"/>
    <w:pPr>
      <w:widowControl/>
      <w:suppressAutoHyphens w:val="true"/>
      <w:bidi w:val="0"/>
      <w:spacing w:lineRule="auto" w:line="240" w:before="0" w:after="0"/>
      <w:jc w:val="both"/>
    </w:pPr>
    <w:rPr>
      <w:rFonts w:ascii="Times New Roman" w:hAnsi="Times New Roman" w:eastAsia="Calibri" w:cs="Calibri"/>
      <w:color w:val="auto"/>
      <w:kern w:val="0"/>
      <w:sz w:val="28"/>
      <w:szCs w:val="22"/>
      <w:lang w:val="uk-UA" w:eastAsia="ru-RU" w:bidi="ar-SA"/>
    </w:rPr>
  </w:style>
  <w:style w:type="paragraph" w:styleId="HTMLPreformatted">
    <w:name w:val="HTML Preformatted"/>
    <w:basedOn w:val="Normal"/>
    <w:link w:val="HTML"/>
    <w:uiPriority w:val="99"/>
    <w:unhideWhenUsed/>
    <w:qFormat/>
    <w:rsid w:val="006f4d37"/>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jc w:val="start"/>
    </w:pPr>
    <w:rPr>
      <w:rFonts w:ascii="Courier New" w:hAnsi="Courier New" w:eastAsia="Times New Roman" w:cs="Courier New"/>
      <w:sz w:val="20"/>
      <w:szCs w:val="20"/>
      <w:lang w:val="ru-RU"/>
    </w:rPr>
  </w:style>
  <w:style w:type="numbering" w:styleId="user3"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a9">
    <w:name w:val="Table Grid"/>
    <w:basedOn w:val="a1"/>
    <w:rsid w:val="009a5fe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LibreOffice/25.8.2.2$Linux_X86_64 LibreOffice_project/580$Build-2</Application>
  <AppVersion>15.0000</AppVersion>
  <Pages>5</Pages>
  <Words>518</Words>
  <Characters>2958</Characters>
  <CharactersWithSpaces>3470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2025-11-11T05:34:00Z</dcterms:created>
  <dc:creator>ASUS</dc:creator>
  <dc:description/>
  <dc:language>ru-RU</dc:language>
  <cp:lastModifiedBy/>
  <dcterms:modified xsi:type="dcterms:W3CDTF">2025-11-25T19:35:57Z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