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3c78d8"/>
        </w:rPr>
        <w:sectPr>
          <w:footerReference r:id="rId7" w:type="defaul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bookmarkStart w:colFirst="0" w:colLast="0" w:name="_yisf8uhhwl1k" w:id="0"/>
      <w:bookmarkEnd w:id="0"/>
      <w:r w:rsidDel="00000000" w:rsidR="00000000" w:rsidRPr="00000000">
        <w:rPr>
          <w:rFonts w:ascii="Arial" w:cs="Arial" w:eastAsia="Arial" w:hAnsi="Arial"/>
          <w:color w:val="3c78d8"/>
          <w:rtl w:val="0"/>
        </w:rPr>
        <w:t xml:space="preserve">Тенденции на рынке труда</w:t>
      </w:r>
    </w:p>
    <w:p w:rsidR="00000000" w:rsidDel="00000000" w:rsidP="00000000" w:rsidRDefault="00000000" w:rsidRPr="00000000" w14:paraId="00000002">
      <w:pPr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21184758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73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isf8uhhwl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Тенденции на рынке труда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45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3fini4vgp5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Экономическая активность населения.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45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az9dkeiuy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Безработица среди мужчин и женщин.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45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psmzeytgz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Занятость, безработица и уровень образования населения.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2"/>
        <w:rPr/>
        <w:sectPr>
          <w:type w:val="nextPage"/>
          <w:pgSz w:h="16838" w:w="11906" w:orient="portrait"/>
          <w:pgMar w:bottom="1134" w:top="1134" w:left="1701" w:right="850" w:header="708" w:footer="708"/>
        </w:sectPr>
      </w:pPr>
      <w:bookmarkStart w:colFirst="0" w:colLast="0" w:name="_8aaezzryunq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3fini4vgp5g" w:id="2"/>
      <w:bookmarkEnd w:id="2"/>
      <w:r w:rsidDel="00000000" w:rsidR="00000000" w:rsidRPr="00000000">
        <w:rPr>
          <w:rtl w:val="0"/>
        </w:rPr>
        <w:t xml:space="preserve">Экономическая активность населения.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По данным обследования населения по проблемам занятости, в I квартале 2012г. численность экономически активного населения в возрасте 15-72 лет (занятые + безработные) составила 74,8 млн.человек.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В численности экономически активного населения 69,9 млн.человек классифицировались как занятые экономической деятельностью и 4,9 млн.человек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сравнению с I кварталом 2011г. численность занятого населения увеличилась на 0,5 млн. человек, или на 0,7%, численность безработных сократилась на 0,7 млн.человек, или на 13,3%.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971925" cy="2343150"/>
            <wp:effectExtent b="0" l="0" r="0" t="0"/>
            <wp:docPr descr="http://www.gks.ru/bgd/regl/B12_04/IssWWW.exe/Stg/d03/Image3604.gif" id="1" name="image1.png"/>
            <a:graphic>
              <a:graphicData uri="http://schemas.openxmlformats.org/drawingml/2006/picture">
                <pic:pic>
                  <pic:nvPicPr>
                    <pic:cNvPr descr="http://www.gks.ru/bgd/regl/B12_04/IssWWW.exe/Stg/d03/Image3604.gif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  <w:t xml:space="preserve">Итоги обследований свидетельствуют, что, благодаря реализации в 2009-2010гг. 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году.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faz9dkeiuy9" w:id="3"/>
      <w:bookmarkEnd w:id="3"/>
      <w:r w:rsidDel="00000000" w:rsidR="00000000" w:rsidRPr="00000000">
        <w:rPr>
          <w:rtl w:val="0"/>
        </w:rPr>
        <w:t xml:space="preserve">Безработица среди мужчин и женщин.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пункта, за 2011г. - на 0,8 процентного пункта.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В январе 2012г. уровень безработицы среди мужчин составил 6,9% и был на 0,7 процентного пункта выше уровня безработицы среди женщин (6,2%)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590925" cy="2714625"/>
            <wp:effectExtent b="0" l="0" r="0" t="0"/>
            <wp:docPr descr="http://www.gks.ru/bgd/regl/B12_04/IssWWW.exe/Stg/d03/Image3609.gif" id="3" name="image4.png"/>
            <a:graphic>
              <a:graphicData uri="http://schemas.openxmlformats.org/drawingml/2006/picture">
                <pic:pic>
                  <pic:nvPicPr>
                    <pic:cNvPr descr="http://www.gks.ru/bgd/regl/B12_04/IssWWW.exe/Stg/d03/Image3609.gif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2009г. увеличился до 10 процентных 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увеличилась по сравнению с февралем 2008г. на 39%, безработных женщин - на 26% (при общем увеличении численности безработных на 33%).</w:t>
      </w:r>
    </w:p>
    <w:p w:rsidR="00000000" w:rsidDel="00000000" w:rsidP="00000000" w:rsidRDefault="00000000" w:rsidRPr="00000000" w14:paraId="00000014">
      <w:pPr>
        <w:jc w:val="both"/>
        <w:rPr/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  <w:t xml:space="preserve">В среднем за 2009г. доля мужчин и женщин в общей численности безработных составила, соответственно, 54% и 46%, за 2010г. - 55% и 45%, за 2011г. - 54% и 46% и в I квартале 2012г. - 55% и 45%.</w:t>
      </w:r>
    </w:p>
    <w:p w:rsidR="00000000" w:rsidDel="00000000" w:rsidP="00000000" w:rsidRDefault="00000000" w:rsidRPr="00000000" w14:paraId="00000015">
      <w:pPr>
        <w:pStyle w:val="Heading2"/>
        <w:rPr/>
        <w:sectPr>
          <w:type w:val="continuous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psmzeytgzy7" w:id="4"/>
      <w:bookmarkEnd w:id="4"/>
      <w:r w:rsidDel="00000000" w:rsidR="00000000" w:rsidRPr="00000000">
        <w:rPr>
          <w:rtl w:val="0"/>
        </w:rPr>
        <w:t xml:space="preserve">Занятость, безработица и уровень образования населения.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Среди безработных специалисты с высшим или средним профессиональным 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20%.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81325" cy="2276475"/>
            <wp:effectExtent b="0" l="0" r="0" t="0"/>
            <wp:docPr descr="http://www.gks.ru/bgd/regl/B12_04/IssWWW.exe/Stg/d03/Image3616.gif" id="2" name="image2.png"/>
            <a:graphic>
              <a:graphicData uri="http://schemas.openxmlformats.org/drawingml/2006/picture">
                <pic:pic>
                  <pic:nvPicPr>
                    <pic:cNvPr descr="http://www.gks.ru/bgd/regl/B12_04/IssWWW.exe/Stg/d03/Image3616.gif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Статистические данные показывают, что чем выше уровень образования, тем выше уровень занятости и ниже безработица. В 2011г. уровень занятости среди населения с высшим профессиональным образованием составил 81,5%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, уровень безработицы 2) - 3,6%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, со средним профессиональным образованием соответственно 73,7% и 5,1%, начальным профессиональным образованием - 73,2% и 6,7%.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86200" cy="1981200"/>
            <wp:effectExtent b="0" l="0" r="0" t="0"/>
            <wp:docPr descr="http://www.gks.ru/bgd/regl/B12_04/IssWWW.exe/Stg/d03/Image3617.gif" id="4" name="image3.png"/>
            <a:graphic>
              <a:graphicData uri="http://schemas.openxmlformats.org/drawingml/2006/picture">
                <pic:pic>
                  <pic:nvPicPr>
                    <pic:cNvPr descr="http://www.gks.ru/bgd/regl/B12_04/IssWWW.exe/Stg/d03/Image3617.gif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  <w:sectPr>
          <w:type w:val="nextPage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  <w:t xml:space="preserve"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группах от 20 до 49 лет. В то же время среди населения в возрасте 50 лет и старше уровень 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лет коэффициент превышения составляет 1,13; 60-72 лет - 1,42.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276.0" w:type="dxa"/>
        <w:jc w:val="left"/>
        <w:tblInd w:w="-115.0" w:type="dxa"/>
        <w:tblBorders>
          <w:insideH w:color="ffffff" w:space="0" w:sz="4" w:val="single"/>
        </w:tblBorders>
        <w:tblLayout w:type="fixed"/>
        <w:tblLook w:val="04A0"/>
      </w:tblPr>
      <w:tblGrid>
        <w:gridCol w:w="3226"/>
        <w:gridCol w:w="2979"/>
        <w:gridCol w:w="1274"/>
        <w:gridCol w:w="1986"/>
        <w:gridCol w:w="2835"/>
        <w:gridCol w:w="2976"/>
        <w:tblGridChange w:id="0">
          <w:tblGrid>
            <w:gridCol w:w="3226"/>
            <w:gridCol w:w="2979"/>
            <w:gridCol w:w="1274"/>
            <w:gridCol w:w="1986"/>
            <w:gridCol w:w="2835"/>
            <w:gridCol w:w="2976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Экономически активное население, </w:t>
            </w:r>
          </w:p>
          <w:p w:rsidR="00000000" w:rsidDel="00000000" w:rsidP="00000000" w:rsidRDefault="00000000" w:rsidRPr="00000000" w14:paraId="0000002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тыс.человек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 том числе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Уровень занятости, </w:t>
              <w:br w:type="textWrapping"/>
              <w:t xml:space="preserve">%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Уровень безработицы,</w:t>
              <w:br w:type="textWrapping"/>
              <w:t xml:space="preserve">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занятые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безработные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Всего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75752,0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70731,8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5020,2</w:t>
            </w:r>
          </w:p>
        </w:tc>
        <w:tc>
          <w:tcPr/>
          <w:p w:rsidR="00000000" w:rsidDel="00000000" w:rsidP="00000000" w:rsidRDefault="00000000" w:rsidRPr="00000000" w14:paraId="0000003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63,8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в том числе по уровню образования:</w:t>
              <w:br w:type="textWrapping"/>
              <w:t xml:space="preserve">высшее и послевузовское </w:t>
              <w:br w:type="textWrapping"/>
              <w:t xml:space="preserve">профессиональное</w:t>
            </w:r>
          </w:p>
        </w:tc>
        <w:tc>
          <w:tcPr/>
          <w:p w:rsidR="00000000" w:rsidDel="00000000" w:rsidP="00000000" w:rsidRDefault="00000000" w:rsidRPr="00000000" w14:paraId="0000003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21671,9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20887,6</w:t>
            </w:r>
          </w:p>
        </w:tc>
        <w:tc>
          <w:tcPr/>
          <w:p w:rsidR="00000000" w:rsidDel="00000000" w:rsidP="00000000" w:rsidRDefault="00000000" w:rsidRPr="00000000" w14:paraId="0000003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784,3</w:t>
            </w:r>
          </w:p>
        </w:tc>
        <w:tc>
          <w:tcPr/>
          <w:p w:rsidR="00000000" w:rsidDel="00000000" w:rsidP="00000000" w:rsidRDefault="00000000" w:rsidRPr="00000000" w14:paraId="0000003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81,5</w:t>
            </w:r>
          </w:p>
        </w:tc>
        <w:tc>
          <w:tcPr/>
          <w:p w:rsidR="00000000" w:rsidDel="00000000" w:rsidP="00000000" w:rsidRDefault="00000000" w:rsidRPr="00000000" w14:paraId="0000003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из них по группам специальностей:</w:t>
            </w:r>
          </w:p>
        </w:tc>
        <w:tc>
          <w:tcPr/>
          <w:p w:rsidR="00000000" w:rsidDel="00000000" w:rsidP="00000000" w:rsidRDefault="00000000" w:rsidRPr="00000000" w14:paraId="0000003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экономика и управление</w:t>
            </w:r>
          </w:p>
        </w:tc>
        <w:tc>
          <w:tcPr/>
          <w:p w:rsidR="00000000" w:rsidDel="00000000" w:rsidP="00000000" w:rsidRDefault="00000000" w:rsidRPr="00000000" w14:paraId="0000004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5513,6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5267,4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246,2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82,9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образование и педогогика</w:t>
            </w:r>
          </w:p>
        </w:tc>
        <w:tc>
          <w:tcPr/>
          <w:p w:rsidR="00000000" w:rsidDel="00000000" w:rsidP="00000000" w:rsidRDefault="00000000" w:rsidRPr="00000000" w14:paraId="0000004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3769,0</w:t>
            </w:r>
          </w:p>
        </w:tc>
        <w:tc>
          <w:tcPr/>
          <w:p w:rsidR="00000000" w:rsidDel="00000000" w:rsidP="00000000" w:rsidRDefault="00000000" w:rsidRPr="00000000" w14:paraId="0000004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3643,3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125,8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78,5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гуманитарные науки</w:t>
            </w:r>
          </w:p>
        </w:tc>
        <w:tc>
          <w:tcPr/>
          <w:p w:rsidR="00000000" w:rsidDel="00000000" w:rsidP="00000000" w:rsidRDefault="00000000" w:rsidRPr="00000000" w14:paraId="0000004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2514,1</w:t>
            </w:r>
          </w:p>
        </w:tc>
        <w:tc>
          <w:tcPr/>
          <w:p w:rsidR="00000000" w:rsidDel="00000000" w:rsidP="00000000" w:rsidRDefault="00000000" w:rsidRPr="00000000" w14:paraId="0000004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2401,8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112,3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83,5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здравоохранение</w:t>
            </w:r>
          </w:p>
        </w:tc>
        <w:tc>
          <w:tcPr/>
          <w:p w:rsidR="00000000" w:rsidDel="00000000" w:rsidP="00000000" w:rsidRDefault="00000000" w:rsidRPr="00000000" w14:paraId="0000005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1388,2</w:t>
            </w:r>
          </w:p>
        </w:tc>
        <w:tc>
          <w:tcPr/>
          <w:p w:rsidR="00000000" w:rsidDel="00000000" w:rsidP="00000000" w:rsidRDefault="00000000" w:rsidRPr="00000000" w14:paraId="0000005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1371,7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16,5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84,0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строительство и архитектура</w:t>
            </w:r>
          </w:p>
        </w:tc>
        <w:tc>
          <w:tcPr/>
          <w:p w:rsidR="00000000" w:rsidDel="00000000" w:rsidP="00000000" w:rsidRDefault="00000000" w:rsidRPr="00000000" w14:paraId="0000005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1148,2</w:t>
            </w:r>
          </w:p>
        </w:tc>
        <w:tc>
          <w:tcPr/>
          <w:p w:rsidR="00000000" w:rsidDel="00000000" w:rsidP="00000000" w:rsidRDefault="00000000" w:rsidRPr="00000000" w14:paraId="0000005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1112,3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36,0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81,5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энергетика, энергетическое </w:t>
              <w:br w:type="textWrapping"/>
              <w:t xml:space="preserve">машиностроение и </w:t>
              <w:br w:type="textWrapping"/>
              <w:t xml:space="preserve">электротехника</w:t>
            </w:r>
          </w:p>
        </w:tc>
        <w:tc>
          <w:tcPr/>
          <w:p w:rsidR="00000000" w:rsidDel="00000000" w:rsidP="00000000" w:rsidRDefault="00000000" w:rsidRPr="00000000" w14:paraId="0000005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865,3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842,7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22,6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83,6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сельское и рыбное хозяйство</w:t>
            </w:r>
          </w:p>
        </w:tc>
        <w:tc>
          <w:tcPr/>
          <w:p w:rsidR="00000000" w:rsidDel="00000000" w:rsidP="00000000" w:rsidRDefault="00000000" w:rsidRPr="00000000" w14:paraId="0000006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746,5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711,4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35,0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77,0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металлургия, машиностроение и</w:t>
              <w:br w:type="textWrapping"/>
              <w:t xml:space="preserve">материалообработка</w:t>
            </w:r>
          </w:p>
        </w:tc>
        <w:tc>
          <w:tcPr/>
          <w:p w:rsidR="00000000" w:rsidDel="00000000" w:rsidP="00000000" w:rsidRDefault="00000000" w:rsidRPr="00000000" w14:paraId="0000006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705,7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684,8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20,9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79,2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информатика и вычислительная</w:t>
              <w:br w:type="textWrapping"/>
              <w:t xml:space="preserve">техника</w:t>
            </w:r>
          </w:p>
        </w:tc>
        <w:tc>
          <w:tcPr/>
          <w:p w:rsidR="00000000" w:rsidDel="00000000" w:rsidP="00000000" w:rsidRDefault="00000000" w:rsidRPr="00000000" w14:paraId="0000007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588,3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575,1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13,2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92,2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транспортные средства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578,8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560,8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18,0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84,4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физико-математические </w:t>
              <w:br w:type="textWrapping"/>
              <w:t xml:space="preserve">специальности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447,6</w:t>
            </w:r>
          </w:p>
        </w:tc>
        <w:tc>
          <w:tcPr/>
          <w:p w:rsidR="00000000" w:rsidDel="00000000" w:rsidP="00000000" w:rsidRDefault="00000000" w:rsidRPr="00000000" w14:paraId="0000007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437,6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10,0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84,5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электронная техника, </w:t>
              <w:br w:type="textWrapping"/>
              <w:t xml:space="preserve">радиотехника и связь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464,3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450,1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14,2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80,9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культура и искусство</w:t>
            </w:r>
          </w:p>
        </w:tc>
        <w:tc>
          <w:tcPr/>
          <w:p w:rsidR="00000000" w:rsidDel="00000000" w:rsidP="00000000" w:rsidRDefault="00000000" w:rsidRPr="00000000" w14:paraId="0000008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423,1</w:t>
            </w:r>
          </w:p>
        </w:tc>
        <w:tc>
          <w:tcPr/>
          <w:p w:rsidR="00000000" w:rsidDel="00000000" w:rsidP="00000000" w:rsidRDefault="00000000" w:rsidRPr="00000000" w14:paraId="0000008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410,3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12,7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80,3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3,0</w:t>
            </w:r>
          </w:p>
        </w:tc>
      </w:tr>
    </w:tbl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Таблица 1. Экономическая активность населения в возрасте 15-72 лет , имеющего профессиональное образование, по профессиям и специальностям по диплому в 2011 год</w:t>
      </w:r>
    </w:p>
    <w:sectPr>
      <w:type w:val="nextPage"/>
      <w:pgSz w:h="11906" w:w="16838" w:orient="landscape"/>
      <w:pgMar w:bottom="850" w:top="1701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37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37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1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2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360" w:lineRule="auto"/>
        <w:ind w:firstLine="73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 Black" w:cs="Arial Black" w:eastAsia="Arial Black" w:hAnsi="Arial Black"/>
      <w:i w:val="1"/>
      <w:iCs w:val="1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000000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adcdea" w:val="clear"/>
      </w:tcPr>
    </w:tblStylePr>
    <w:tblStylePr w:type="band1Vert">
      <w:tcPr>
        <w:shd w:fill="adcdea" w:val="clear"/>
      </w:tcPr>
    </w:tblStylePr>
    <w:tblStylePr w:type="firstCol">
      <w:rPr>
        <w:color w:val="ffffff"/>
      </w:rPr>
      <w:tcPr>
        <w:shd w:fill="2e75b5" w:val="clear"/>
      </w:tcPr>
    </w:tblStylePr>
    <w:tblStylePr w:type="firstRow">
      <w:rPr>
        <w:b w:val="1"/>
        <w:bCs w:val="1"/>
      </w:rPr>
      <w:tcPr>
        <w:shd w:fill="bdd7ee" w:val="clear"/>
      </w:tcPr>
    </w:tblStylePr>
    <w:tblStylePr w:type="lastCol">
      <w:rPr>
        <w:color w:val="ffffff"/>
      </w:rPr>
      <w:tcPr>
        <w:shd w:fill="2e75b5" w:val="clear"/>
      </w:tcPr>
    </w:tblStylePr>
    <w:tblStylePr w:type="lastRow">
      <w:rPr>
        <w:b w:val="1"/>
        <w:bCs w:val="1"/>
        <w:color w:val="000000"/>
      </w:rPr>
      <w:tcPr>
        <w:shd w:fill="bdd7ee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09E10C02017A45209D7CA29E85F6A8E7_13</vt:lpwstr>
  </property>
</Properties>
</file>