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2026年5月28日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政治资讯</w:t>
      </w:r>
    </w:p>
    <w:p w14:paraId="0890CD43" w14:textId="7D595FF7" w:rsidR="00441250" w:rsidRDefault="000A12B1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1.【政策动向】香港本地政策资讯发布施政报告相关政策信息</w:t>
      </w:r>
    </w:p>
    <w:p w14:paraId="05667FE1" w14:textId="77777777" w:rsidR="00DA17B8" w:rsidRDefault="00DA17B8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2.【监管政策】香港本地监管/政策发布OFCA政策相关政策信息</w:t>
        <w:br w:type="page"/>
      </w:r>
    </w:p>
    <w:p w14:paraId="18528AD5" w14:textId="1CCA40E4" w:rsidR="00176352" w:rsidRPr="00176352" w:rsidRDefault="00656562" w:rsidP="00176352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ABF429" wp14:editId="219A3252">
                <wp:simplePos x="0" y="0"/>
                <wp:positionH relativeFrom="page">
                  <wp:posOffset>38100</wp:posOffset>
                </wp:positionH>
                <wp:positionV relativeFrom="paragraph">
                  <wp:posOffset>681990</wp:posOffset>
                </wp:positionV>
                <wp:extent cx="7670800" cy="12700"/>
                <wp:effectExtent l="0" t="0" r="25400" b="254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708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3D949D" id="直接连接符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pt,53.7pt" to="607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D53B469" w14:textId="77777777" w:rsidR="00887776" w:rsidRDefault="00887776" w:rsidP="001C49A2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3.【数据监管】重点国家及地区AI与数据监管发布EU Data Act相关政策信息</w:t>
      </w:r>
    </w:p>
    <w:p w14:paraId="0EFD6EB6" w14:textId="77777777" w:rsidR="005B6CBE" w:rsidRPr="00176352" w:rsidRDefault="005B6CBE" w:rsidP="005B6CB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4.【监管政策】通信监管机构发布频谱拍卖相关政策信息</w:t>
      </w:r>
    </w:p>
    <w:p w14:paraId="6D334050" w14:textId="7D7ED3C4" w:rsidR="00DA17B8" w:rsidRPr="005B6CBE" w:rsidRDefault="001C49A2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FAE99E9" w14:textId="60F374ED" w:rsidR="00E6244A" w:rsidRDefault="00E6244A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51AF5F31" w14:textId="31D48E48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5.【友商动态】HGC更新海缆/跨境链路相关信息</w:t>
      </w:r>
    </w:p>
    <w:p w14:paraId="227E4E4B" w14:textId="5327964C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6.【友商动态】iCable更新产品与资费信息</w:t>
      </w:r>
    </w:p>
    <w:p w14:paraId="6927F30A" w14:textId="493079EB" w:rsidR="0093199E" w:rsidRDefault="0093199E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7.【科创政策】行业资讯更新跨境贸易相关信息</w:t>
      </w:r>
    </w:p>
    <w:p w14:paraId="169B3709" w14:textId="274BBD66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8.【行业资讯】行业资讯更新技术动态相关信息</w:t>
      </w:r>
    </w:p>
    <w:p w14:paraId="44574F2D" w14:textId="5D13236A" w:rsidR="00DA5730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427452" w14:textId="0A754D54" w:rsidR="006E4BF3" w:rsidRDefault="006E4BF3" w:rsidP="0093199E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社会资讯</w:t>
      </w:r>
    </w:p>
    <w:p w14:paraId="51243355" w14:textId="0847E2B6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9.【友商动态】HGC更新家宽用户数相关信息</w:t>
      </w:r>
    </w:p>
    <w:p w14:paraId="75711025" w14:textId="6B54F2BF" w:rsidR="00DA5730" w:rsidRDefault="00DA5730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10.【运营商财报】iCable披露客户数/用户数等经营指标</w:t>
      </w:r>
    </w:p>
    <w:p w14:paraId="34F17429" w14:textId="77777777" w:rsidR="006E4BF3" w:rsidRDefault="006E4BF3" w:rsidP="0093199E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11.【宏观经济】香港宏观经济资讯更新人口相关宏观数据</w:t>
      </w:r>
    </w:p>
    <w:p w14:paraId="4C842AC2" w14:textId="2E021C97" w:rsidR="006E4BF3" w:rsidRPr="006E4BF3" w:rsidRDefault="006E4BF3" w:rsidP="006E4BF3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12.【社会民生】社会资讯更新本地生活咨询相关信息</w:t>
      </w:r>
    </w:p>
    <w:p w14:paraId="79B80828" w14:textId="1D89C8A1" w:rsidR="00DA17B8" w:rsidRDefault="00DA5730" w:rsidP="0093199E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725080" w14:textId="083839B1" w:rsidR="00393008" w:rsidRDefault="00C80E77" w:rsidP="00441250">
      <w:pPr>
        <w:spacing w:line="360" w:lineRule="auto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国际资讯</w:t>
      </w:r>
    </w:p>
    <w:p w14:paraId="0219FE2A" w14:textId="583725BC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13.【国际运营商】亚太运营商围绕AI发布国际动态</w:t>
      </w:r>
    </w:p>
    <w:p w14:paraId="2221473E" w14:textId="62348617" w:rsidR="00511216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14.【国际运营商】亚太运营商围绕网络API发布国际动态</w:t>
      </w:r>
    </w:p>
    <w:p w14:paraId="037CAD1B" w14:textId="143C23C2" w:rsidR="00F55199" w:rsidRDefault="00F55199" w:rsidP="00441250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15.【国际运营商】亚太运营商围绕AI发布国际动态</w:t>
      </w:r>
    </w:p>
    <w:p w14:paraId="2C129016" w14:textId="742A73C0" w:rsidR="004846BF" w:rsidRDefault="00F55199" w:rsidP="004846BF">
      <w:pPr>
        <w:pStyle w:val="af9"/>
        <w:spacing w:before="101" w:line="360" w:lineRule="auto"/>
        <w:rPr>
          <w:lang w:eastAsia="zh-CN"/>
        </w:rPr>
      </w:pPr>
      <w:r>
        <w:rPr>
          <w:lang w:eastAsia="zh-CN"/>
        </w:rPr>
        <w:t>16.【国际组织】国际组织/行业权威机构更新ITU数字发展相关信息</w:t>
      </w:r>
    </w:p>
    <w:p w14:paraId="24FD9632" w14:textId="77777777" w:rsidR="00CB6333" w:rsidRPr="00CB6333" w:rsidRDefault="00CB6333" w:rsidP="004846B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政治资讯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政策动向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一、香港本地政策资讯发布施政报告相关政策信息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香港本地政策资讯在政策动向领域形成公开信息更新，本轮成功来源4个，可复核字段覆盖施政报告、战略规划、区域发展、重大投资。</w:t>
      </w: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监管政策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二、香港本地监管/政策发布OFCA政策相关政策信息</w:t>
      </w: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香港本地监管/政策在监管政策领域形成公开信息更新，本轮成功来源3个，可复核字段覆盖OFCA政策、频谱/牌照、服务质量、网络安全、PCPD/AI指引、数据跨境。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数据监管</w:t>
      </w: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三、重点国家及地区AI与数据监管发布EU Data Act相关政策信息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重点国家及地区AI与数据监管在数据监管领域形成公开信息更新，本轮成功来源3个，可复核字段覆盖EU Data Act、GDPR/DSA、新加坡AI治理、隐私法规；待补充字段包括EU AI Act。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监管政策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四、通信监管机构发布频谱拍卖相关政策信息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通信监管机构在监管政策领域形成公开信息更新，本轮成功来源6个，可复核字段覆盖频谱拍卖、5G/6G规划、网络共享、覆盖义务、网络安全、卫星通信。</w:t>
      </w: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五、HGC更新海缆/跨境链路相关信息</w:t>
      </w: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HGC在友商动态领域形成公开信息更新，本轮成功来源2个，可复核字段覆盖海缆/跨境链路、数据中心、企业网络、合作项目。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六、iCable更新产品与资费信息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iCable在友商动态领域形成公开信息更新，本轮成功来源3个，可复核字段覆盖宽带套餐、电讯业务战略合作。</w:t>
      </w: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科创政策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七、行业资讯更新跨境贸易相关信息</w:t>
      </w: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行业资讯在科创政策领域形成公开信息更新，本轮成功来源4个，可复核字段覆盖跨境贸易、科技创投、人工智能、低空经济、Web3。</w:t>
      </w: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行业资讯</w:t>
      </w: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八、行业资讯更新技术动态相关信息</w:t>
      </w: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行业资讯在行业资讯领域形成公开信息更新，本轮成功来源2个，可复核字段覆盖技术动态、企业重大合作、前沿产品；待补充字段包括市场趋势。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社会资讯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友商动态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九、HGC更新家宽用户数相关信息</w:t>
      </w: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HGC在友商动态领域形成公开信息更新，本轮成功来源2个，可复核字段覆盖家宽用户数、网络覆盖、企业通信、跨境链路、数据中心、云网产品。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运营商财报</w:t>
      </w: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十、iCable披露客户数/用户数等经营指标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iCable在运营商财报领域形成公开信息更新，本轮成功来源3个，可复核字段覆盖客户数/用户数；待补充字段包括运营收入/总收益、服务收入、EBITDA。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宏观经济</w:t>
      </w: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十一、香港宏观经济资讯更新人口相关宏观数据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香港宏观经济资讯在宏观经济领域形成公开信息更新，本轮成功来源4个，可复核字段覆盖人口、零售额、失业率；待补充字段包括PMI。</w:t>
      </w: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社会民生</w:t>
      </w: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十二、社会资讯更新本地生活咨询相关信息</w:t>
      </w: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社会资讯在社会民生领域形成公开信息更新，本轮成功来源2个，可复核字段覆盖本地生活咨询。</w:t>
      </w:r>
    </w:p>
    <w:p w14:paraId="3B6F5D45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A0AA685" w14:textId="77777777" w:rsidR="00734727" w:rsidRDefault="00734727" w:rsidP="00F0736B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 w14:paraId="13BBDB69" w14:textId="56FAD4EA" w:rsidR="00F0736B" w:rsidRPr="000A12B1" w:rsidRDefault="00D95CC8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国际运营商</w:t>
      </w:r>
    </w:p>
    <w:p w14:paraId="6107F584" w14:textId="082E2115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十三、亚太运营商围绕AI发布国际动态</w:t>
      </w:r>
    </w:p>
    <w:p w14:paraId="6CB7D714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亚太运营商在国际运营商领域形成公开信息更新，本轮成功来源12个，可复核字段覆盖AI、5G-A、云、企业ICT、Capex方向、Singtel；待补充字段包括Airtel。</w:t>
      </w:r>
    </w:p>
    <w:p w14:paraId="464D4210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2F507C4" w14:textId="122AA830" w:rsidR="0097758A" w:rsidRPr="000A12B1" w:rsidRDefault="00D95CC8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国际运营商</w:t>
      </w:r>
    </w:p>
    <w:p w14:paraId="6A519E52" w14:textId="69143024" w:rsidR="0097758A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十四、亚太运营商围绕网络API发布国际动态</w:t>
      </w:r>
    </w:p>
    <w:p w14:paraId="4687C279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亚太运营商在国际运营商领域形成公开信息更新，本轮成功来源7个，可复核字段覆盖网络API、Open RAN、边缘计算、FWA、AI网络、Deutsche Telekom；待补充字段包括Vodafone、Orange、AT&amp;T。</w:t>
      </w:r>
    </w:p>
    <w:p w14:paraId="537B42B7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D17484A" w14:textId="0F791405" w:rsidR="0097758A" w:rsidRPr="000A12B1" w:rsidRDefault="00D95CC8" w:rsidP="00F0736B"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国际运营商</w:t>
      </w:r>
    </w:p>
    <w:p w14:paraId="430F075C" w14:textId="45C47FB3" w:rsidR="00E472F0" w:rsidRPr="000A12B1" w:rsidRDefault="00734727" w:rsidP="00F96E2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十五、亚太运营商围绕AI发布国际动态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亚太运营商在国际运营商领域形成公开信息更新，本轮成功来源9个，可复核字段覆盖AI、算力网络、云、DICT、5G-A、资本开支。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A6A6A6" w:themeColor="background1" w:themeShade="A6"/>
          <w:sz w:val="28"/>
        </w:rPr>
      </w:pPr>
      <w:r>
        <w:rPr>
          <w:rFonts w:ascii="FangSong" w:eastAsia="FangSong" w:hAnsi="FangSong" w:hint="eastAsia"/>
          <w:b/>
          <w:color w:val="A6A6A6" w:themeColor="background1" w:themeShade="A6"/>
          <w:sz w:val="28"/>
        </w:rPr>
        <w:t>国际组织</w:t>
      </w: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十六、国际组织/行业权威机构更新ITU数字发展相关信息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国际组织/行业权威机构在国际组织领域形成公开信息更新，本轮成功来源4个，可复核字段覆盖ITU数字发展、宽带指标、OECD数字经济、World Bank/IMF宏观。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