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97A724" w14:textId="77777777" w:rsidR="00394201" w:rsidRDefault="002E2042">
      <w:pPr>
        <w:snapToGrid w:val="0"/>
        <w:spacing w:beforeLines="50" w:before="180" w:line="360" w:lineRule="auto"/>
        <w:ind w:firstLineChars="200" w:firstLine="803"/>
        <w:jc w:val="center"/>
        <w:outlineLvl w:val="3"/>
        <w:rPr>
          <w:rFonts w:ascii="FangSong" w:eastAsia="FangSong" w:hAnsi="FangSong" w:cs="Times New Roman"/>
          <w:b/>
          <w:bCs/>
          <w:snapToGrid w:val="0"/>
          <w:kern w:val="24"/>
          <w:sz w:val="40"/>
          <w:szCs w:val="36"/>
          <w:lang w:eastAsia="zh-CN"/>
        </w:rPr>
      </w:pPr>
      <w:bookmarkStart w:id="0" w:name="OLE_LINK2"/>
      <w:bookmarkStart w:id="1" w:name="OLE_LINK1"/>
      <w:r>
        <w:rPr>
          <w:rFonts w:ascii="FangSong" w:eastAsia="FangSong" w:hAnsi="FangSong" w:cs="Times New Roman" w:hint="eastAsia"/>
          <w:b/>
          <w:bCs/>
          <w:snapToGrid w:val="0"/>
          <w:kern w:val="24"/>
          <w:sz w:val="40"/>
          <w:szCs w:val="36"/>
          <w:lang w:eastAsia="zh-CN"/>
        </w:rPr>
        <w:t>各家运营商2025年关键业绩摘要</w:t>
      </w: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40"/>
          <w:szCs w:val="36"/>
          <w:lang w:eastAsia="zh-CN"/>
        </w:rPr>
      </w:r>
      <w:r>
        <w:rPr>
          <w:rFonts w:ascii="FangSong" w:eastAsia="FangSong" w:hAnsi="FangSong" w:cs="Times New Roman"/>
          <w:b/>
          <w:bCs/>
          <w:snapToGrid w:val="0"/>
          <w:kern w:val="24"/>
          <w:sz w:val="40"/>
          <w:szCs w:val="36"/>
          <w:lang w:eastAsia="zh-CN"/>
        </w:rPr>
      </w: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40"/>
          <w:szCs w:val="36"/>
          <w:lang w:eastAsia="zh-CN"/>
        </w:rPr>
      </w:r>
    </w:p>
    <w:bookmarkEnd w:id="0"/>
    <w:bookmarkEnd w:id="1"/>
    <w:p w14:paraId="499EED94" w14:textId="77777777" w:rsidR="00394201" w:rsidRDefault="002E2042">
      <w:pPr>
        <w:pStyle w:val="a3"/>
        <w:spacing w:before="0" w:after="0" w:line="312" w:lineRule="auto"/>
        <w:jc w:val="center"/>
        <w:rPr>
          <w:rFonts w:ascii="FangSong" w:eastAsia="FangSong" w:hAnsi="FangSong"/>
          <w:sz w:val="28"/>
          <w:lang w:eastAsia="zh-CN"/>
        </w:rPr>
      </w:pPr>
      <w:r>
        <w:rPr>
          <w:rFonts w:ascii="FangSong" w:eastAsia="FangSong" w:hAnsi="FangSong" w:hint="eastAsia"/>
          <w:sz w:val="28"/>
          <w:lang w:eastAsia="zh-CN"/>
        </w:rPr>
        <w:t>战略部（智库）对标分析简报</w:t>
      </w:r>
      <w:proofErr w:type="gramStart"/>
      <w:r>
        <w:rPr>
          <w:rFonts w:ascii="FangSong" w:eastAsia="FangSong" w:hAnsi="FangSong" w:hint="eastAsia"/>
          <w:sz w:val="28"/>
          <w:lang w:eastAsia="zh-CN"/>
        </w:rPr>
      </w:r>
      <w:proofErr w:type="gramEnd"/>
      <w:r>
        <w:rPr>
          <w:rFonts w:ascii="FangSong" w:eastAsia="FangSong" w:hAnsi="FangSong" w:hint="eastAsia"/>
          <w:sz w:val="28"/>
          <w:lang w:eastAsia="zh-CN"/>
        </w:rPr>
      </w:r>
    </w:p>
    <w:p w14:paraId="5066AAE1" w14:textId="77777777" w:rsidR="00394201" w:rsidRDefault="002E2042">
      <w:pPr>
        <w:snapToGrid w:val="0"/>
        <w:spacing w:before="60" w:line="312" w:lineRule="auto"/>
        <w:ind w:firstLineChars="200" w:firstLine="560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  <w:t>截至2026年3月26日，中国移动、中国电信、中国联通及中国铁塔2025财年业绩均已发布。现结合公开披露数据、业绩公告及券商研报，将各家运营商2025年关键业绩数据与资本市场反应摘要如下，供内部决策参考。</w:t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bookmarkStart w:id="2" w:name="_Hlk225772476"/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bookmarkEnd w:id="2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3FB884F8" w14:textId="77777777" w:rsidR="00394201" w:rsidRDefault="002E2042">
      <w:pPr>
        <w:spacing w:line="312" w:lineRule="auto"/>
        <w:jc w:val="center"/>
        <w:rPr>
          <w:rFonts w:ascii="FangSong" w:eastAsia="FangSong" w:hAnsi="FangSong"/>
          <w:b/>
          <w:sz w:val="32"/>
          <w:lang w:eastAsia="zh-CN"/>
        </w:rPr>
      </w:pPr>
      <w:r>
        <w:rPr>
          <w:rFonts w:ascii="FangSong" w:eastAsia="FangSong" w:hAnsi="FangSong" w:hint="eastAsia"/>
          <w:b/>
          <w:sz w:val="32"/>
          <w:lang w:eastAsia="zh-CN"/>
        </w:rPr>
        <w:t>表：各家运营商2025年关键业绩数据汇总</w:t>
      </w:r>
      <w:r>
        <w:rPr>
          <w:rFonts w:ascii="FangSong" w:eastAsia="FangSong" w:hAnsi="FangSong"/>
          <w:b/>
          <w:sz w:val="32"/>
          <w:lang w:eastAsia="zh-CN"/>
        </w:rPr>
      </w:r>
      <w:r>
        <w:rPr>
          <w:rFonts w:ascii="FangSong" w:eastAsia="FangSong" w:hAnsi="FangSong" w:hint="eastAsia"/>
          <w:b/>
          <w:sz w:val="32"/>
          <w:lang w:eastAsia="zh-CN"/>
        </w:rPr>
      </w:r>
    </w:p>
    <w:tbl>
      <w:tblPr>
        <w:tblStyle w:val="ad"/>
        <w:tblW w:w="8818" w:type="dxa"/>
        <w:jc w:val="center"/>
        <w:tblLook w:val="04A0" w:firstRow="1" w:lastRow="0" w:firstColumn="1" w:lastColumn="0" w:noHBand="0" w:noVBand="1"/>
      </w:tblPr>
      <w:tblGrid>
        <w:gridCol w:w="2701"/>
        <w:gridCol w:w="1382"/>
        <w:gridCol w:w="1382"/>
        <w:gridCol w:w="1383"/>
        <w:gridCol w:w="1970"/>
      </w:tblGrid>
      <w:tr w:rsidR="00BA3003" w14:paraId="58BB608A" w14:textId="77777777" w:rsidTr="00BA3003">
        <w:trPr>
          <w:trHeight w:val="569"/>
          <w:jc w:val="center"/>
        </w:trPr>
        <w:tc>
          <w:tcPr>
            <w:tcW w:w="2701" w:type="dxa"/>
          </w:tcPr>
          <w:p>
            <w:r/>
          </w:p>
        </w:tc>
        <w:tc>
          <w:tcPr>
            <w:tcW w:w="1382" w:type="dxa"/>
          </w:tcPr>
          <w:p>
            <w:r>
              <w:t>中国移动</w:t>
            </w:r>
          </w:p>
        </w:tc>
        <w:tc>
          <w:tcPr>
            <w:tcW w:w="1382" w:type="dxa"/>
          </w:tcPr>
          <w:p>
            <w:r>
              <w:t>中国电信</w:t>
            </w:r>
          </w:p>
        </w:tc>
        <w:tc>
          <w:tcPr>
            <w:tcW w:w="1383" w:type="dxa"/>
          </w:tcPr>
          <w:p>
            <w:r>
              <w:t>中国联通</w:t>
            </w:r>
          </w:p>
        </w:tc>
        <w:tc>
          <w:tcPr>
            <w:tcW w:w="1970" w:type="dxa"/>
          </w:tcPr>
          <w:p>
            <w:r>
              <w:t>中国铁塔</w:t>
            </w:r>
          </w:p>
        </w:tc>
      </w:tr>
      <w:tr w:rsidR="00BA3003" w14:paraId="724C57C1" w14:textId="77777777" w:rsidTr="00BA3003">
        <w:trPr>
          <w:trHeight w:val="977"/>
          <w:jc w:val="center"/>
        </w:trPr>
        <w:tc>
          <w:tcPr>
            <w:tcW w:w="2701" w:type="dxa"/>
          </w:tcPr>
          <w:p>
            <w:r>
              <w:t>营业收入（亿元）</w:t>
            </w:r>
          </w:p>
        </w:tc>
        <w:tc>
          <w:tcPr>
            <w:tcW w:w="1382" w:type="dxa"/>
          </w:tcPr>
          <w:p>
            <w:r>
              <w:t>10502</w:t>
              <w:br/>
              <w:t>+0.9%</w:t>
            </w:r>
          </w:p>
        </w:tc>
        <w:tc>
          <w:tcPr>
            <w:tcW w:w="1382" w:type="dxa"/>
          </w:tcPr>
          <w:p>
            <w:r>
              <w:t>5296</w:t>
              <w:br/>
              <w:t>+0.03%</w:t>
            </w:r>
          </w:p>
        </w:tc>
        <w:tc>
          <w:tcPr>
            <w:tcW w:w="1383" w:type="dxa"/>
          </w:tcPr>
          <w:p>
            <w:r>
              <w:t>3922</w:t>
              <w:br/>
              <w:t>+0.7%</w:t>
            </w:r>
          </w:p>
        </w:tc>
        <w:tc>
          <w:tcPr>
            <w:tcW w:w="1970" w:type="dxa"/>
          </w:tcPr>
          <w:p>
            <w:r>
              <w:t>1004</w:t>
              <w:br/>
              <w:t>+2.7%</w:t>
            </w:r>
          </w:p>
        </w:tc>
      </w:tr>
      <w:tr w:rsidR="00BA3003" w14:paraId="21098F54" w14:textId="77777777" w:rsidTr="00BA3003">
        <w:trPr>
          <w:trHeight w:val="1215"/>
          <w:jc w:val="center"/>
        </w:trPr>
        <w:tc>
          <w:tcPr>
            <w:tcW w:w="2701" w:type="dxa"/>
          </w:tcPr>
          <w:p>
            <w:r>
              <w:t>主营业务收入（亿元）</w:t>
            </w:r>
          </w:p>
        </w:tc>
        <w:tc>
          <w:tcPr>
            <w:tcW w:w="1382" w:type="dxa"/>
          </w:tcPr>
          <w:p>
            <w:r>
              <w:t>8955</w:t>
              <w:br/>
              <w:t>+0.7%</w:t>
            </w:r>
          </w:p>
        </w:tc>
        <w:tc>
          <w:tcPr>
            <w:tcW w:w="1382" w:type="dxa"/>
          </w:tcPr>
          <w:p>
            <w:r>
              <w:t>4854</w:t>
              <w:br/>
              <w:t>+0.7%</w:t>
            </w:r>
          </w:p>
        </w:tc>
        <w:tc>
          <w:tcPr>
            <w:tcW w:w="1383" w:type="dxa"/>
          </w:tcPr>
          <w:p>
            <w:r>
              <w:t>3477</w:t>
              <w:br/>
              <w:t>+0.5%</w:t>
            </w:r>
          </w:p>
        </w:tc>
        <w:tc>
          <w:tcPr>
            <w:tcW w:w="1970" w:type="dxa"/>
          </w:tcPr>
          <w:p>
            <w:r>
              <w:t>运营商业务收入 847.25亿元 +0.7%</w:t>
            </w:r>
          </w:p>
        </w:tc>
      </w:tr>
      <w:tr w:rsidR="00BA3003" w14:paraId="4BC2B377" w14:textId="77777777" w:rsidTr="00BA3003">
        <w:trPr>
          <w:trHeight w:val="912"/>
          <w:jc w:val="center"/>
        </w:trPr>
        <w:tc>
          <w:tcPr>
            <w:tcW w:w="2701" w:type="dxa"/>
          </w:tcPr>
          <w:p>
            <w:r>
              <w:t>EBITDA(亿元)</w:t>
            </w:r>
          </w:p>
        </w:tc>
        <w:tc>
          <w:tcPr>
            <w:tcW w:w="1382" w:type="dxa"/>
          </w:tcPr>
          <w:p>
            <w:r>
              <w:t>3389</w:t>
              <w:br/>
              <w:t>+1.6%</w:t>
            </w:r>
          </w:p>
        </w:tc>
        <w:tc>
          <w:tcPr>
            <w:tcW w:w="1382" w:type="dxa"/>
          </w:tcPr>
          <w:p>
            <w:r>
              <w:t>1439</w:t>
              <w:br/>
              <w:t>+2.1%</w:t>
            </w:r>
          </w:p>
        </w:tc>
        <w:tc>
          <w:tcPr>
            <w:tcW w:w="1383" w:type="dxa"/>
          </w:tcPr>
          <w:p>
            <w:r>
              <w:t>994</w:t>
              <w:br/>
              <w:t>+0%</w:t>
            </w:r>
          </w:p>
        </w:tc>
        <w:tc>
          <w:tcPr>
            <w:tcW w:w="1970" w:type="dxa"/>
          </w:tcPr>
          <w:p>
            <w:r>
              <w:t>658.14</w:t>
              <w:br/>
              <w:t>-1.1%</w:t>
            </w:r>
          </w:p>
        </w:tc>
      </w:tr>
      <w:tr w:rsidR="00BA3003" w14:paraId="7045117A" w14:textId="77777777" w:rsidTr="00BA3003">
        <w:trPr>
          <w:trHeight w:val="1089"/>
          <w:jc w:val="center"/>
        </w:trPr>
        <w:tc>
          <w:tcPr>
            <w:tcW w:w="2701" w:type="dxa"/>
          </w:tcPr>
          <w:p>
            <w:r>
              <w:t>归母净利润（亿元）</w:t>
            </w:r>
          </w:p>
        </w:tc>
        <w:tc>
          <w:tcPr>
            <w:tcW w:w="1382" w:type="dxa"/>
          </w:tcPr>
          <w:p>
            <w:r>
              <w:t>1371</w:t>
              <w:br/>
              <w:t>-0.9%</w:t>
            </w:r>
          </w:p>
        </w:tc>
        <w:tc>
          <w:tcPr>
            <w:tcW w:w="1382" w:type="dxa"/>
          </w:tcPr>
          <w:p>
            <w:r>
              <w:t>332</w:t>
              <w:br/>
              <w:t>+0.5%</w:t>
            </w:r>
          </w:p>
        </w:tc>
        <w:tc>
          <w:tcPr>
            <w:tcW w:w="1383" w:type="dxa"/>
          </w:tcPr>
          <w:p>
            <w:r>
              <w:t>91</w:t>
              <w:br/>
              <w:t>+1.1%</w:t>
            </w:r>
          </w:p>
        </w:tc>
        <w:tc>
          <w:tcPr>
            <w:tcW w:w="1970" w:type="dxa"/>
          </w:tcPr>
          <w:p>
            <w:r>
              <w:t>116</w:t>
              <w:br/>
              <w:t>+8.4%</w:t>
            </w:r>
          </w:p>
        </w:tc>
      </w:tr>
      <w:tr w:rsidR="00BA3003" w14:paraId="788B3B0A" w14:textId="77777777" w:rsidTr="00BA3003">
        <w:trPr>
          <w:trHeight w:val="569"/>
          <w:jc w:val="center"/>
        </w:trPr>
        <w:tc>
          <w:tcPr>
            <w:tcW w:w="2701" w:type="dxa"/>
          </w:tcPr>
          <w:p>
            <w:r>
              <w:t>净利率</w:t>
            </w:r>
          </w:p>
        </w:tc>
        <w:tc>
          <w:tcPr>
            <w:tcW w:w="1382" w:type="dxa"/>
          </w:tcPr>
          <w:p>
            <w:r>
              <w:t>13.1%</w:t>
            </w:r>
          </w:p>
        </w:tc>
        <w:tc>
          <w:tcPr>
            <w:tcW w:w="1382" w:type="dxa"/>
          </w:tcPr>
          <w:p>
            <w:r>
              <w:t>6.3%</w:t>
            </w:r>
          </w:p>
        </w:tc>
        <w:tc>
          <w:tcPr>
            <w:tcW w:w="1383" w:type="dxa"/>
          </w:tcPr>
          <w:p>
            <w:r>
              <w:t>2.3%</w:t>
            </w:r>
          </w:p>
        </w:tc>
        <w:tc>
          <w:tcPr>
            <w:tcW w:w="1970" w:type="dxa"/>
          </w:tcPr>
          <w:p>
            <w:r>
              <w:t>11.6%</w:t>
            </w:r>
          </w:p>
        </w:tc>
      </w:tr>
      <w:tr w:rsidR="00BA3003" w14:paraId="10705560" w14:textId="77777777" w:rsidTr="00BA3003">
        <w:trPr>
          <w:trHeight w:val="601"/>
          <w:jc w:val="center"/>
        </w:trPr>
        <w:tc>
          <w:tcPr>
            <w:tcW w:w="2701" w:type="dxa"/>
          </w:tcPr>
          <w:p>
            <w:r>
              <w:t>资本开支（亿元）</w:t>
            </w:r>
          </w:p>
        </w:tc>
        <w:tc>
          <w:tcPr>
            <w:tcW w:w="1382" w:type="dxa"/>
          </w:tcPr>
          <w:p>
            <w:r>
              <w:t>1509</w:t>
              <w:br/>
              <w:t>-8.0%</w:t>
            </w:r>
          </w:p>
        </w:tc>
        <w:tc>
          <w:tcPr>
            <w:tcW w:w="1382" w:type="dxa"/>
          </w:tcPr>
          <w:p>
            <w:r>
              <w:t>804</w:t>
              <w:br/>
              <w:t>-14.0%</w:t>
            </w:r>
          </w:p>
        </w:tc>
        <w:tc>
          <w:tcPr>
            <w:tcW w:w="1383" w:type="dxa"/>
          </w:tcPr>
          <w:p>
            <w:r>
              <w:t>542</w:t>
              <w:br/>
              <w:t>-11.7%</w:t>
            </w:r>
          </w:p>
        </w:tc>
        <w:tc>
          <w:tcPr>
            <w:tcW w:w="1970" w:type="dxa"/>
          </w:tcPr>
          <w:p>
            <w:r>
              <w:t>295</w:t>
              <w:br/>
              <w:t>-7.7%</w:t>
            </w:r>
          </w:p>
        </w:tc>
      </w:tr>
      <w:tr w:rsidR="00BA3003" w14:paraId="6F9B501E" w14:textId="77777777" w:rsidTr="00BA3003">
        <w:trPr>
          <w:trHeight w:val="569"/>
          <w:jc w:val="center"/>
        </w:trPr>
        <w:tc>
          <w:tcPr>
            <w:tcW w:w="2701" w:type="dxa"/>
          </w:tcPr>
          <w:p>
            <w:r>
              <w:t>资本开支2026年计划（亿元）</w:t>
            </w:r>
          </w:p>
        </w:tc>
        <w:tc>
          <w:tcPr>
            <w:tcW w:w="1382" w:type="dxa"/>
          </w:tcPr>
          <w:p>
            <w:r>
              <w:t>1366</w:t>
            </w:r>
          </w:p>
        </w:tc>
        <w:tc>
          <w:tcPr>
            <w:tcW w:w="1382" w:type="dxa"/>
          </w:tcPr>
          <w:p>
            <w:r>
              <w:t>730</w:t>
            </w:r>
          </w:p>
        </w:tc>
        <w:tc>
          <w:tcPr>
            <w:tcW w:w="1383" w:type="dxa"/>
          </w:tcPr>
          <w:p>
            <w:r>
              <w:t>500</w:t>
            </w:r>
          </w:p>
        </w:tc>
        <w:tc>
          <w:tcPr>
            <w:tcW w:w="1970" w:type="dxa"/>
          </w:tcPr>
          <w:p>
            <w:r>
              <w:t>未披露</w:t>
            </w:r>
          </w:p>
        </w:tc>
      </w:tr>
      <w:tr w:rsidR="00BA3003" w14:paraId="433CAB3D" w14:textId="77777777" w:rsidTr="00BA3003">
        <w:trPr>
          <w:trHeight w:val="569"/>
          <w:jc w:val="center"/>
        </w:trPr>
        <w:tc>
          <w:tcPr>
            <w:tcW w:w="2701" w:type="dxa"/>
          </w:tcPr>
          <w:p>
            <w:r>
              <w:t>移动用户数（亿户）</w:t>
            </w:r>
          </w:p>
        </w:tc>
        <w:tc>
          <w:tcPr>
            <w:tcW w:w="1382" w:type="dxa"/>
          </w:tcPr>
          <w:p>
            <w:r>
              <w:t>10.05</w:t>
            </w:r>
          </w:p>
        </w:tc>
        <w:tc>
          <w:tcPr>
            <w:tcW w:w="1382" w:type="dxa"/>
          </w:tcPr>
          <w:p>
            <w:r>
              <w:t>4.39</w:t>
            </w:r>
          </w:p>
        </w:tc>
        <w:tc>
          <w:tcPr>
            <w:tcW w:w="1383" w:type="dxa"/>
          </w:tcPr>
          <w:p>
            <w:r>
              <w:t>3.57</w:t>
            </w:r>
          </w:p>
        </w:tc>
        <w:tc>
          <w:tcPr>
            <w:tcW w:w="1970" w:type="dxa"/>
          </w:tcPr>
          <w:p>
            <w:r>
              <w:t>不涉及</w:t>
            </w:r>
          </w:p>
        </w:tc>
      </w:tr>
      <w:tr w:rsidR="00BA3003" w14:paraId="3C2B5CD4" w14:textId="77777777" w:rsidTr="00BA3003">
        <w:trPr>
          <w:trHeight w:val="569"/>
          <w:jc w:val="center"/>
        </w:trPr>
        <w:tc>
          <w:tcPr>
            <w:tcW w:w="2701" w:type="dxa"/>
          </w:tcPr>
          <w:p>
            <w:r>
              <w:t>5G网络用户数（亿户）</w:t>
            </w:r>
          </w:p>
        </w:tc>
        <w:tc>
          <w:tcPr>
            <w:tcW w:w="1382" w:type="dxa"/>
          </w:tcPr>
          <w:p>
            <w:r>
              <w:t>6.42</w:t>
            </w:r>
          </w:p>
        </w:tc>
        <w:tc>
          <w:tcPr>
            <w:tcW w:w="1382" w:type="dxa"/>
          </w:tcPr>
          <w:p>
            <w:r>
              <w:t>3.02</w:t>
            </w:r>
          </w:p>
        </w:tc>
        <w:tc>
          <w:tcPr>
            <w:tcW w:w="1383" w:type="dxa"/>
          </w:tcPr>
          <w:p>
            <w:r>
              <w:t>2.32</w:t>
            </w:r>
          </w:p>
        </w:tc>
        <w:tc>
          <w:tcPr>
            <w:tcW w:w="1970" w:type="dxa"/>
          </w:tcPr>
          <w:p>
            <w:r>
              <w:t>不涉及</w:t>
            </w:r>
          </w:p>
        </w:tc>
      </w:tr>
      <w:tr w:rsidR="00BA3003" w14:paraId="554C3DD1" w14:textId="77777777" w:rsidTr="00BA3003">
        <w:trPr>
          <w:trHeight w:val="50"/>
          <w:jc w:val="center"/>
        </w:trPr>
        <w:tc>
          <w:tcPr>
            <w:tcW w:w="2701" w:type="dxa"/>
          </w:tcPr>
          <w:p>
            <w:r>
              <w:t>5G网络渗透率</w:t>
            </w:r>
          </w:p>
        </w:tc>
        <w:tc>
          <w:tcPr>
            <w:tcW w:w="1382" w:type="dxa"/>
          </w:tcPr>
          <w:p>
            <w:r>
              <w:t>63.9%</w:t>
            </w:r>
          </w:p>
        </w:tc>
        <w:tc>
          <w:tcPr>
            <w:tcW w:w="1382" w:type="dxa"/>
          </w:tcPr>
          <w:p>
            <w:r>
              <w:t>68.8%</w:t>
            </w:r>
          </w:p>
        </w:tc>
        <w:tc>
          <w:tcPr>
            <w:tcW w:w="1383" w:type="dxa"/>
          </w:tcPr>
          <w:p>
            <w:r>
              <w:t>65.0%</w:t>
            </w:r>
          </w:p>
        </w:tc>
        <w:tc>
          <w:tcPr>
            <w:tcW w:w="1970" w:type="dxa"/>
          </w:tcPr>
          <w:p>
            <w:r>
              <w:t>不涉及</w:t>
            </w:r>
          </w:p>
        </w:tc>
      </w:tr>
    </w:tbl>
    <w:p w14:paraId="47F3CC3F" w14:textId="77777777" w:rsidR="00394201" w:rsidRDefault="002E2042">
      <w:pPr>
        <w:pStyle w:val="af"/>
        <w:numPr>
          <w:ilvl w:val="0"/>
          <w:numId w:val="1"/>
        </w:numPr>
        <w:spacing w:before="180" w:line="312" w:lineRule="auto"/>
        <w:ind w:leftChars="0"/>
        <w:jc w:val="both"/>
        <w:rPr>
          <w:rFonts w:ascii="Times New Roman" w:eastAsia="FangSong_GB2312" w:hAnsi="Times New Roman" w:cs="Times New Roman"/>
          <w:b/>
          <w:sz w:val="32"/>
          <w:szCs w:val="32"/>
          <w:lang w:eastAsia="zh-CN"/>
        </w:rPr>
      </w:pP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  <w:t>中国移动（业绩说明会3月26日）关键摘要</w:t>
      </w:r>
      <w:r>
        <w:rPr>
          <w:rFonts w:ascii="Times New Roman" w:eastAsia="FangSong_GB2312" w:hAnsi="Times New Roman" w:cs="Times New Roman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</w:p>
    <w:p w14:paraId="6EEF6141" w14:textId="77777777" w:rsidR="00394201" w:rsidRDefault="002E2042">
      <w:pPr>
        <w:pStyle w:val="af"/>
        <w:numPr>
          <w:ilvl w:val="0"/>
          <w:numId w:val="2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派息稳增：全年派息每股5.27港元（+3.5%），派息率75%，并指引2026年派息率稳中有升，持续增强股东回报。</w:t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6B5A2805" w14:textId="77777777" w:rsidR="00394201" w:rsidRDefault="002E2042">
      <w:pPr>
        <w:pStyle w:val="af"/>
        <w:numPr>
          <w:ilvl w:val="0"/>
          <w:numId w:val="2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资本开支转向算力：2026年资本开支预计再降9.5%至1,366亿元，其中通信相关投资减少20%，算力投资增长62%，AI投资增长20%，结构加速向“新质生产力”倾斜。公司将把算力服务作为高质量发展的重要增长极，目标是到“十五五”期末实现收入翻番。与此同时，该公司将加快AIDC、算力、Token能力提升。</w:t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253A37E2" w14:textId="77777777" w:rsidR="00394201" w:rsidRDefault="002E2042">
      <w:pPr>
        <w:pStyle w:val="af"/>
        <w:numPr>
          <w:ilvl w:val="0"/>
          <w:numId w:val="2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券商观点：维持原有评级，目标价高于现价。</w:t>
      </w:r>
    </w:p>
    <w:p w14:paraId="2B70168C" w14:textId="77777777" w:rsidR="00394201" w:rsidRDefault="002E2042">
      <w:pPr>
        <w:pStyle w:val="af"/>
        <w:numPr>
          <w:ilvl w:val="1"/>
          <w:numId w:val="3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  <w:t>里昂发表报告指出，业绩虽偏弱但优于同业，公司提供7%股息率为同业最高，维持“跑赢大市”评级及目标价86港元。</w:t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5FE59398" w14:textId="77777777" w:rsidR="00394201" w:rsidRDefault="002E2042">
      <w:pPr>
        <w:pStyle w:val="af"/>
        <w:numPr>
          <w:ilvl w:val="1"/>
          <w:numId w:val="3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  <w:t>花旗指出，收入略低于预期但EBITDA基本符合，看好派息率稳步提升，维持“买入”，目标价105.1港元。</w:t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3E29713B" w14:textId="77777777" w:rsidR="00394201" w:rsidRDefault="002E2042">
      <w:pPr>
        <w:pStyle w:val="af"/>
        <w:numPr>
          <w:ilvl w:val="1"/>
          <w:numId w:val="3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  <w:t>摩根士丹利：服务收入符合预期，EBITDA略低于预期，维持“与大市同步”，目标价85港元。</w:t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0A8EFEBD" w14:textId="77777777" w:rsidR="00394201" w:rsidRDefault="002E2042">
      <w:pPr>
        <w:pStyle w:val="af"/>
        <w:numPr>
          <w:ilvl w:val="0"/>
          <w:numId w:val="2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市场反应：业绩公布后股价微升（截止3月27日16:00，股价为78.05港元，上涨0.71%），市场关注其严格的成本控制及向算力/AI的转型成效。</w:t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5B0198D5" w14:textId="77777777" w:rsidR="00394201" w:rsidRDefault="002E2042">
      <w:pPr>
        <w:pStyle w:val="af"/>
        <w:numPr>
          <w:ilvl w:val="0"/>
          <w:numId w:val="1"/>
        </w:numPr>
        <w:spacing w:before="180" w:line="312" w:lineRule="auto"/>
        <w:ind w:leftChars="0"/>
        <w:jc w:val="both"/>
        <w:rPr>
          <w:rFonts w:ascii="Times New Roman" w:eastAsia="FangSong_GB2312" w:hAnsi="Times New Roman" w:cs="Times New Roman"/>
          <w:b/>
          <w:sz w:val="32"/>
          <w:szCs w:val="32"/>
          <w:lang w:eastAsia="zh-CN"/>
        </w:rPr>
      </w:pP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  <w:t>中国电信（业绩说明会3月24日）关键摘要</w:t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</w:p>
    <w:p w14:paraId="3D279F12" w14:textId="77777777" w:rsidR="00394201" w:rsidRDefault="002E2042">
      <w:pPr>
        <w:pStyle w:val="af"/>
        <w:numPr>
          <w:ilvl w:val="0"/>
          <w:numId w:val="4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派息：全年派息率75%，每股0.2720元（+4.7%）。</w:t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2324F821" w14:textId="77777777" w:rsidR="00394201" w:rsidRDefault="002E2042">
      <w:pPr>
        <w:pStyle w:val="af"/>
        <w:numPr>
          <w:ilvl w:val="0"/>
          <w:numId w:val="4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资本开支：2026年资本开支降至730亿元（-9.2%），但算力基础设施投资同比增长26%，达255亿元，占总开支比重升至35%。</w:t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722BF902" w14:textId="77777777" w:rsidR="00394201" w:rsidRDefault="002E2042">
      <w:pPr>
        <w:pStyle w:val="af"/>
        <w:numPr>
          <w:ilvl w:val="0"/>
          <w:numId w:val="4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战略升级：全面拥抱AI，战略从“云改数转”升级为“云改数转智惠”，以打造领先的AI服务商为目标，以Token服务为经营主线。</w:t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65169C14" w14:textId="77777777" w:rsidR="00394201" w:rsidRDefault="002E2042">
      <w:pPr>
        <w:pStyle w:val="af"/>
        <w:numPr>
          <w:ilvl w:val="0"/>
          <w:numId w:val="4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券商观点：基本维持原有评级。</w:t>
      </w:r>
    </w:p>
    <w:p w14:paraId="4BE59FF0" w14:textId="77777777" w:rsidR="00394201" w:rsidRDefault="002E2042">
      <w:pPr>
        <w:pStyle w:val="af"/>
        <w:numPr>
          <w:ilvl w:val="1"/>
          <w:numId w:val="3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  <w:t>中银国际：盈利略低于预期，但看好Token、智算中心及云安全驱动增长，重申“买入”，目标价7.85港元。</w:t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2797B837" w14:textId="77777777" w:rsidR="00394201" w:rsidRDefault="002E2042">
      <w:pPr>
        <w:pStyle w:val="af"/>
        <w:numPr>
          <w:ilvl w:val="1"/>
          <w:numId w:val="3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  <w:t>摩根士丹利：去年第四季度业绩逊预期，但管理层对2026年收入、EBITDA及利润增长给出正面指引，维持“与大市同步”，目标价5.5港元。</w:t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59361E01" w14:textId="77777777" w:rsidR="00394201" w:rsidRDefault="002E2042">
      <w:pPr>
        <w:pStyle w:val="af"/>
        <w:numPr>
          <w:ilvl w:val="0"/>
          <w:numId w:val="4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市场反应：业绩说明会当日收盘价4.89港元，3月27日收盘价为4.86港元，股价整体维持稳定。</w:t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45E42671" w14:textId="77777777" w:rsidR="00394201" w:rsidRDefault="002E2042">
      <w:pPr>
        <w:pStyle w:val="af"/>
        <w:numPr>
          <w:ilvl w:val="0"/>
          <w:numId w:val="1"/>
        </w:numPr>
        <w:spacing w:before="180" w:line="312" w:lineRule="auto"/>
        <w:ind w:leftChars="0"/>
        <w:jc w:val="both"/>
        <w:rPr>
          <w:rFonts w:ascii="Times New Roman" w:eastAsia="FangSong_GB2312" w:hAnsi="Times New Roman" w:cs="Times New Roman"/>
          <w:b/>
          <w:sz w:val="32"/>
          <w:szCs w:val="32"/>
          <w:lang w:eastAsia="zh-CN"/>
        </w:rPr>
      </w:pP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  <w:t>中国联通（业绩说明会3月19日）关键摘要</w:t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</w:p>
    <w:p w14:paraId="26432267" w14:textId="77777777" w:rsidR="00394201" w:rsidRDefault="002E2042">
      <w:pPr>
        <w:pStyle w:val="af"/>
        <w:numPr>
          <w:ilvl w:val="0"/>
          <w:numId w:val="5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派息：派发末期股息每股人民币0.0523元，连同已派发的中期股息每股人民币0.1112元，2025年股息合计每股人民币0.1635元，同比提升3.5%。</w:t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5A053A13" w14:textId="77777777" w:rsidR="00394201" w:rsidRDefault="002E2042">
      <w:pPr>
        <w:pStyle w:val="af"/>
        <w:numPr>
          <w:ilvl w:val="0"/>
          <w:numId w:val="5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  <w:t>2025年，中国联通抢抓新一轮科技和产业创新机遇，落实“人工智能+”行动，战略性新兴产业收入占比超过86%，算力业务收入占比超过15%、较上年提升1.1个百分点，人工智能业务收入同比增长超过140%。2026年资本开支预计在500亿元左右，其中算力投资占比超过35%。</w:t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74491257" w14:textId="77777777" w:rsidR="00394201" w:rsidRDefault="002E2042">
      <w:pPr>
        <w:pStyle w:val="af"/>
        <w:numPr>
          <w:ilvl w:val="0"/>
          <w:numId w:val="5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  <w:t>中国联通董事长董昕在业绩发布会上表示，“中国联通30余年的发展，从弱到强，从小到大，始终有明确、清晰的战略，并且聚焦战略确立非常明确的工作措施和赛道，在此基础上坚决地落实才有了今天的成绩。联通的目标就是，健康地、鲜活地活着。”</w:t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585E8070" w14:textId="77777777" w:rsidR="00394201" w:rsidRDefault="002E2042">
      <w:pPr>
        <w:pStyle w:val="af"/>
        <w:numPr>
          <w:ilvl w:val="0"/>
          <w:numId w:val="5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券商观点：业绩逊于预期，市场信心削弱。</w:t>
      </w:r>
    </w:p>
    <w:p w14:paraId="3C722CDE" w14:textId="77777777" w:rsidR="00394201" w:rsidRDefault="002E2042">
      <w:pPr>
        <w:pStyle w:val="af"/>
        <w:numPr>
          <w:ilvl w:val="1"/>
          <w:numId w:val="6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  <w:t>晨星：将公允价值预测从10.6港元下调9%至9.6港元，并维持“无护城河”评级，直指其资本回报率持续低于资本成本，核心业务盈利能力羸弱。</w:t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2056DDDF" w14:textId="77777777" w:rsidR="00394201" w:rsidRDefault="002E2042">
      <w:pPr>
        <w:pStyle w:val="af"/>
        <w:numPr>
          <w:ilvl w:val="1"/>
          <w:numId w:val="6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  <w:t>瑞银：予“中性”评级，目标价8.1港元。公司上季业绩、收入同比、EBITDA同比与派息率均逊于预期，并表示由于联通业绩未达预期，料市场将作出负面反应。市场忧虑增值税（VAT）继续令公司净利润受压，而派息比率逊于预期，更进一步削弱市场对其股息前景的信心。</w:t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0D56653B" w14:textId="77777777" w:rsidR="00394201" w:rsidRDefault="002E2042">
      <w:pPr>
        <w:pStyle w:val="af"/>
        <w:numPr>
          <w:ilvl w:val="0"/>
          <w:numId w:val="5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市场反应：业绩公布后股价持续下降，3月27日收盘价为7.03港元，相较于业绩说明会3月19日当日收盘价7.54港元下滑6.8%。</w:t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30392638" w14:textId="77777777" w:rsidR="00394201" w:rsidRDefault="002E2042">
      <w:pPr>
        <w:pStyle w:val="af"/>
        <w:numPr>
          <w:ilvl w:val="0"/>
          <w:numId w:val="1"/>
        </w:numPr>
        <w:spacing w:before="180" w:line="312" w:lineRule="auto"/>
        <w:ind w:leftChars="0"/>
        <w:jc w:val="both"/>
        <w:rPr>
          <w:rFonts w:ascii="Times New Roman" w:eastAsia="FangSong_GB2312" w:hAnsi="Times New Roman" w:cs="Times New Roman"/>
          <w:b/>
          <w:sz w:val="32"/>
          <w:szCs w:val="32"/>
          <w:lang w:eastAsia="zh-CN"/>
        </w:rPr>
      </w:pP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  <w:t>中国铁塔（业绩说明会3月18日）关键摘要</w:t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</w:p>
    <w:p w14:paraId="1B7BF9C1" w14:textId="77777777" w:rsidR="00394201" w:rsidRDefault="002E2042">
      <w:pPr>
        <w:pStyle w:val="af"/>
        <w:numPr>
          <w:ilvl w:val="0"/>
          <w:numId w:val="7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派息：派发末期股息为每股0.32539元（税前），连同已派发的中期股息，全年股息合计为每股0.45789元（税前），全年可分配利润派息比率为77%。</w:t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395273AD" w14:textId="77777777" w:rsidR="00394201" w:rsidRDefault="002E2042">
      <w:pPr>
        <w:pStyle w:val="af"/>
        <w:numPr>
          <w:ilvl w:val="0"/>
          <w:numId w:val="7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  <w:t>财报显示，中国铁塔深化“一体两翼”战略，即以面向通信行业的运营商业务为“一体”，以面向社会的智联业务和能源业务为“两翼”。营业收入保持稳定增长，2025年公司实现营业收入1004.11亿元，首次突破1000亿元大关，盈利能力持续增强，财务状况保持稳健。</w:t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sectPr w:rsidR="00394201">
      <w:footerReference w:type="default" r:id="rId8"/>
      <w:pgSz w:w="11906" w:h="16838"/>
      <w:pgMar w:top="1440" w:right="1531" w:bottom="1440" w:left="153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CBCF131" w14:textId="77777777" w:rsidR="002E2042" w:rsidRDefault="002E2042">
      <w:r>
        <w:separator/>
      </w:r>
    </w:p>
  </w:endnote>
  <w:endnote w:type="continuationSeparator" w:id="0">
    <w:p w14:paraId="7DF90BE5" w14:textId="77777777" w:rsidR="002E2042" w:rsidRDefault="002E20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angSong">
    <w:altName w:val="汉仪仿宋KW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FangSong_GB2312">
    <w:altName w:val="汉仪仿宋KW"/>
    <w:panose1 w:val="02010609060101010101"/>
    <w:charset w:val="86"/>
    <w:family w:val="modern"/>
    <w:pitch w:val="fixed"/>
    <w:sig w:usb0="00000003" w:usb1="080E0000" w:usb2="00000010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"/>
    </w:sdtPr>
    <w:sdtEndPr/>
    <w:sdtContent>
      <w:p w14:paraId="5ED3F80B" w14:textId="77777777" w:rsidR="00394201" w:rsidRDefault="002E2042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69A9DBB3" w14:textId="77777777" w:rsidR="00394201" w:rsidRDefault="0039420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4622A9" w14:textId="77777777" w:rsidR="002E2042" w:rsidRDefault="002E2042">
      <w:r>
        <w:separator/>
      </w:r>
    </w:p>
  </w:footnote>
  <w:footnote w:type="continuationSeparator" w:id="0">
    <w:p w14:paraId="61E0F990" w14:textId="77777777" w:rsidR="002E2042" w:rsidRDefault="002E20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170ABD"/>
    <w:multiLevelType w:val="multilevel"/>
    <w:tmpl w:val="04170ABD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F9956D2"/>
    <w:multiLevelType w:val="multilevel"/>
    <w:tmpl w:val="1F9956D2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45BF6363"/>
    <w:multiLevelType w:val="multilevel"/>
    <w:tmpl w:val="45BF6363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1EF7C35"/>
    <w:multiLevelType w:val="multilevel"/>
    <w:tmpl w:val="51EF7C35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B940A4D"/>
    <w:multiLevelType w:val="multilevel"/>
    <w:tmpl w:val="5B940A4D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DBB12EB"/>
    <w:multiLevelType w:val="multilevel"/>
    <w:tmpl w:val="5DBB12EB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72225702"/>
    <w:multiLevelType w:val="multilevel"/>
    <w:tmpl w:val="72225702"/>
    <w:lvl w:ilvl="0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43A3154"/>
    <w:multiLevelType w:val="multilevel"/>
    <w:tmpl w:val="743A3154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75016AF5"/>
    <w:multiLevelType w:val="multilevel"/>
    <w:tmpl w:val="75016AF5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767F47FF"/>
    <w:multiLevelType w:val="multilevel"/>
    <w:tmpl w:val="767F47FF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6"/>
  </w:num>
  <w:num w:numId="2">
    <w:abstractNumId w:val="0"/>
  </w:num>
  <w:num w:numId="3">
    <w:abstractNumId w:val="5"/>
  </w:num>
  <w:num w:numId="4">
    <w:abstractNumId w:val="2"/>
  </w:num>
  <w:num w:numId="5">
    <w:abstractNumId w:val="7"/>
  </w:num>
  <w:num w:numId="6">
    <w:abstractNumId w:val="1"/>
  </w:num>
  <w:num w:numId="7">
    <w:abstractNumId w:val="4"/>
  </w:num>
  <w:num w:numId="8">
    <w:abstractNumId w:val="3"/>
  </w:num>
  <w:num w:numId="9">
    <w:abstractNumId w:val="9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480"/>
  <w:drawingGridHorizontalSpacing w:val="120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2700"/>
    <w:rsid w:val="B4FE1CC7"/>
    <w:rsid w:val="D65F0366"/>
    <w:rsid w:val="DFAE3D4A"/>
    <w:rsid w:val="EF15C071"/>
    <w:rsid w:val="F4DF5194"/>
    <w:rsid w:val="F7FF56D3"/>
    <w:rsid w:val="FD77666E"/>
    <w:rsid w:val="FFCD9707"/>
    <w:rsid w:val="000365E5"/>
    <w:rsid w:val="00073E96"/>
    <w:rsid w:val="00074B7E"/>
    <w:rsid w:val="00081006"/>
    <w:rsid w:val="000C30BF"/>
    <w:rsid w:val="000C59F4"/>
    <w:rsid w:val="000F478D"/>
    <w:rsid w:val="001205E7"/>
    <w:rsid w:val="00153A7B"/>
    <w:rsid w:val="001563B9"/>
    <w:rsid w:val="00163934"/>
    <w:rsid w:val="00167CE0"/>
    <w:rsid w:val="0017432B"/>
    <w:rsid w:val="00182295"/>
    <w:rsid w:val="001A283F"/>
    <w:rsid w:val="001F3905"/>
    <w:rsid w:val="00260569"/>
    <w:rsid w:val="00271186"/>
    <w:rsid w:val="002A4456"/>
    <w:rsid w:val="002B09B3"/>
    <w:rsid w:val="002C1109"/>
    <w:rsid w:val="002D5422"/>
    <w:rsid w:val="002E2042"/>
    <w:rsid w:val="00304B2C"/>
    <w:rsid w:val="00313FCA"/>
    <w:rsid w:val="00333892"/>
    <w:rsid w:val="003636E1"/>
    <w:rsid w:val="00363DC9"/>
    <w:rsid w:val="00364278"/>
    <w:rsid w:val="003661ED"/>
    <w:rsid w:val="003800DF"/>
    <w:rsid w:val="0038542A"/>
    <w:rsid w:val="00394201"/>
    <w:rsid w:val="003B11B0"/>
    <w:rsid w:val="003C7B40"/>
    <w:rsid w:val="003D2577"/>
    <w:rsid w:val="00422CDB"/>
    <w:rsid w:val="00475AB2"/>
    <w:rsid w:val="00475E3C"/>
    <w:rsid w:val="00476D76"/>
    <w:rsid w:val="004A6E0C"/>
    <w:rsid w:val="004A7FEC"/>
    <w:rsid w:val="004C22C6"/>
    <w:rsid w:val="004C64DF"/>
    <w:rsid w:val="004D29B3"/>
    <w:rsid w:val="004D6737"/>
    <w:rsid w:val="004E573D"/>
    <w:rsid w:val="004F2838"/>
    <w:rsid w:val="005001D7"/>
    <w:rsid w:val="00500CF0"/>
    <w:rsid w:val="00507881"/>
    <w:rsid w:val="0052232F"/>
    <w:rsid w:val="0053358B"/>
    <w:rsid w:val="00541B4D"/>
    <w:rsid w:val="0055692C"/>
    <w:rsid w:val="005762C6"/>
    <w:rsid w:val="005C7273"/>
    <w:rsid w:val="006101EA"/>
    <w:rsid w:val="0066221C"/>
    <w:rsid w:val="00662DD1"/>
    <w:rsid w:val="00665E6A"/>
    <w:rsid w:val="00673609"/>
    <w:rsid w:val="006B2B3B"/>
    <w:rsid w:val="006C46EA"/>
    <w:rsid w:val="006D3885"/>
    <w:rsid w:val="00767264"/>
    <w:rsid w:val="00773929"/>
    <w:rsid w:val="00777485"/>
    <w:rsid w:val="00782529"/>
    <w:rsid w:val="00790718"/>
    <w:rsid w:val="007A0A74"/>
    <w:rsid w:val="007C3076"/>
    <w:rsid w:val="007D677D"/>
    <w:rsid w:val="00806979"/>
    <w:rsid w:val="008469C0"/>
    <w:rsid w:val="008A7647"/>
    <w:rsid w:val="008C7A6F"/>
    <w:rsid w:val="008D6965"/>
    <w:rsid w:val="008E3E9E"/>
    <w:rsid w:val="008E6C23"/>
    <w:rsid w:val="00905F44"/>
    <w:rsid w:val="00917E57"/>
    <w:rsid w:val="009238D6"/>
    <w:rsid w:val="00927674"/>
    <w:rsid w:val="00947F34"/>
    <w:rsid w:val="00951DE5"/>
    <w:rsid w:val="009A3A9A"/>
    <w:rsid w:val="009A422F"/>
    <w:rsid w:val="009D37EF"/>
    <w:rsid w:val="009E59C3"/>
    <w:rsid w:val="009E68FE"/>
    <w:rsid w:val="00A324D9"/>
    <w:rsid w:val="00A57E2E"/>
    <w:rsid w:val="00A9052A"/>
    <w:rsid w:val="00A91F4E"/>
    <w:rsid w:val="00AA090B"/>
    <w:rsid w:val="00AE0DA7"/>
    <w:rsid w:val="00B14554"/>
    <w:rsid w:val="00B14FFF"/>
    <w:rsid w:val="00B151C1"/>
    <w:rsid w:val="00B46A8E"/>
    <w:rsid w:val="00B6333A"/>
    <w:rsid w:val="00BA3003"/>
    <w:rsid w:val="00BE5500"/>
    <w:rsid w:val="00BE571C"/>
    <w:rsid w:val="00BE57C4"/>
    <w:rsid w:val="00BF0E56"/>
    <w:rsid w:val="00C35B70"/>
    <w:rsid w:val="00C574FC"/>
    <w:rsid w:val="00C63203"/>
    <w:rsid w:val="00C756FB"/>
    <w:rsid w:val="00CA720C"/>
    <w:rsid w:val="00CD0B58"/>
    <w:rsid w:val="00CE1479"/>
    <w:rsid w:val="00D04863"/>
    <w:rsid w:val="00D06E42"/>
    <w:rsid w:val="00D45101"/>
    <w:rsid w:val="00D47336"/>
    <w:rsid w:val="00D560D3"/>
    <w:rsid w:val="00D639E5"/>
    <w:rsid w:val="00D73F96"/>
    <w:rsid w:val="00D764F3"/>
    <w:rsid w:val="00D95100"/>
    <w:rsid w:val="00DD5BC6"/>
    <w:rsid w:val="00E21B7C"/>
    <w:rsid w:val="00E44DFB"/>
    <w:rsid w:val="00E62700"/>
    <w:rsid w:val="00E65610"/>
    <w:rsid w:val="00EB2E6C"/>
    <w:rsid w:val="00EE50A5"/>
    <w:rsid w:val="00F54222"/>
    <w:rsid w:val="00F83FFE"/>
    <w:rsid w:val="00FB0B49"/>
    <w:rsid w:val="00FC7F63"/>
    <w:rsid w:val="00FD1457"/>
    <w:rsid w:val="00FD3DFE"/>
    <w:rsid w:val="33F56AAA"/>
    <w:rsid w:val="57FC06AD"/>
    <w:rsid w:val="5FEB9984"/>
    <w:rsid w:val="7BD55BA6"/>
    <w:rsid w:val="7BE7181E"/>
    <w:rsid w:val="7FFA0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ECD062"/>
  <w15:docId w15:val="{F2E78B9B-3439-4AD8-BB2A-BFF4B54F9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  <w:rPr>
      <w:rFonts w:asciiTheme="minorHAnsi" w:eastAsiaTheme="minorEastAsia" w:hAnsiTheme="minorHAnsi" w:cstheme="minorBidi"/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pPr>
      <w:widowControl/>
      <w:spacing w:before="180" w:after="180"/>
    </w:pPr>
    <w:rPr>
      <w:kern w:val="0"/>
      <w:szCs w:val="24"/>
      <w:lang w:eastAsia="en-US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9">
    <w:name w:val="head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b">
    <w:name w:val="footnote text"/>
    <w:basedOn w:val="a"/>
    <w:link w:val="ac"/>
    <w:uiPriority w:val="99"/>
    <w:semiHidden/>
    <w:unhideWhenUsed/>
    <w:qFormat/>
    <w:pPr>
      <w:snapToGrid w:val="0"/>
    </w:pPr>
    <w:rPr>
      <w:sz w:val="20"/>
      <w:szCs w:val="20"/>
    </w:r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footnote reference"/>
    <w:basedOn w:val="a0"/>
    <w:uiPriority w:val="99"/>
    <w:semiHidden/>
    <w:unhideWhenUsed/>
    <w:qFormat/>
    <w:rPr>
      <w:vertAlign w:val="superscript"/>
    </w:rPr>
  </w:style>
  <w:style w:type="character" w:customStyle="1" w:styleId="aa">
    <w:name w:val="页眉 字符"/>
    <w:basedOn w:val="a0"/>
    <w:link w:val="a9"/>
    <w:uiPriority w:val="99"/>
    <w:qFormat/>
    <w:rPr>
      <w:sz w:val="20"/>
      <w:szCs w:val="20"/>
    </w:rPr>
  </w:style>
  <w:style w:type="character" w:customStyle="1" w:styleId="a8">
    <w:name w:val="页脚 字符"/>
    <w:basedOn w:val="a0"/>
    <w:link w:val="a7"/>
    <w:uiPriority w:val="99"/>
    <w:qFormat/>
    <w:rPr>
      <w:sz w:val="20"/>
      <w:szCs w:val="20"/>
    </w:rPr>
  </w:style>
  <w:style w:type="paragraph" w:styleId="af">
    <w:name w:val="List Paragraph"/>
    <w:basedOn w:val="a"/>
    <w:uiPriority w:val="34"/>
    <w:qFormat/>
    <w:pPr>
      <w:ind w:leftChars="200" w:left="480"/>
    </w:pPr>
  </w:style>
  <w:style w:type="character" w:customStyle="1" w:styleId="a6">
    <w:name w:val="批注框文本 字符"/>
    <w:basedOn w:val="a0"/>
    <w:link w:val="a5"/>
    <w:uiPriority w:val="99"/>
    <w:semiHidden/>
    <w:qFormat/>
    <w:rPr>
      <w:rFonts w:asciiTheme="majorHAnsi" w:eastAsiaTheme="majorEastAsia" w:hAnsiTheme="majorHAnsi" w:cstheme="majorBidi"/>
      <w:sz w:val="18"/>
      <w:szCs w:val="18"/>
    </w:rPr>
  </w:style>
  <w:style w:type="paragraph" w:customStyle="1" w:styleId="1">
    <w:name w:val="修订1"/>
    <w:hidden/>
    <w:uiPriority w:val="99"/>
    <w:semiHidden/>
    <w:qFormat/>
    <w:rPr>
      <w:rFonts w:asciiTheme="minorHAnsi" w:eastAsiaTheme="minorEastAsia" w:hAnsiTheme="minorHAnsi" w:cstheme="minorBidi"/>
      <w:kern w:val="2"/>
      <w:sz w:val="24"/>
      <w:szCs w:val="22"/>
    </w:rPr>
  </w:style>
  <w:style w:type="character" w:customStyle="1" w:styleId="ac">
    <w:name w:val="脚注文本 字符"/>
    <w:basedOn w:val="a0"/>
    <w:link w:val="ab"/>
    <w:uiPriority w:val="99"/>
    <w:semiHidden/>
    <w:qFormat/>
    <w:rPr>
      <w:sz w:val="20"/>
      <w:szCs w:val="20"/>
    </w:rPr>
  </w:style>
  <w:style w:type="character" w:customStyle="1" w:styleId="a4">
    <w:name w:val="正文文本 字符"/>
    <w:basedOn w:val="a0"/>
    <w:link w:val="a3"/>
    <w:qFormat/>
    <w:rPr>
      <w:kern w:val="0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Version="6" StyleName="APA" SelectedStyle="\APASixthEditionOfficeOnline.xsl"/>
</file>

<file path=customXml/itemProps1.xml><?xml version="1.0" encoding="utf-8"?>
<ds:datastoreItem xmlns:ds="http://schemas.openxmlformats.org/officeDocument/2006/customXml" ds:itemID="{849D239A-E944-4AC6-B251-CF911CC93E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347</Words>
  <Characters>1980</Characters>
  <Application>Microsoft Office Word</Application>
  <DocSecurity>0</DocSecurity>
  <Lines>16</Lines>
  <Paragraphs>4</Paragraphs>
  <ScaleCrop>false</ScaleCrop>
  <Company/>
  <LinksUpToDate>false</LinksUpToDate>
  <CharactersWithSpaces>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Christy WONG Suet Mui</dc:creator>
  <cp:lastModifiedBy>Christy WONG Suet Mui</cp:lastModifiedBy>
  <cp:revision>2</cp:revision>
  <cp:lastPrinted>2026-03-28T18:07:00Z</cp:lastPrinted>
  <dcterms:created xsi:type="dcterms:W3CDTF">2026-04-01T11:03:00Z</dcterms:created>
  <dcterms:modified xsi:type="dcterms:W3CDTF">2026-03-31T07:30:00Z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2052-0.0.0.0</vt:lpwstr>
  </property>
  <property fmtid="{D5CDD505-2E9C-101B-9397-08002B2CF9AE}" pid="3" name="ICV">
    <vt:lpwstr>1FD0ADA8E92B34B33273CB696CE03839_43</vt:lpwstr>
  </property>
</Properties>
</file>