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97A724" w14:textId="77777777" w:rsidR="00394201" w:rsidRDefault="002E2042">
      <w:pPr>
        <w:snapToGrid w:val="0"/>
        <w:spacing w:beforeLines="50" w:before="180" w:line="360" w:lineRule="auto"/>
        <w:ind w:firstLineChars="200" w:firstLine="803"/>
        <w:jc w:val="center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pPr>
      <w:bookmarkStart w:id="0" w:name="OLE_LINK2"/>
      <w:bookmarkStart w:id="1" w:name="OLE_LINK1"/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  <w:t>运营商业绩与竞对动态摘要</w:t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/>
          <w:b/>
          <w:bCs/>
          <w:snapToGrid w:val="0"/>
          <w:kern w:val="24"/>
          <w:sz w:val="40"/>
          <w:szCs w:val="36"/>
          <w:lang w:eastAsia="zh-CN"/>
        </w:rPr>
      </w: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40"/>
          <w:szCs w:val="36"/>
          <w:lang w:eastAsia="zh-CN"/>
        </w:rPr>
      </w:r>
    </w:p>
    <w:bookmarkEnd w:id="0"/>
    <w:bookmarkEnd w:id="1"/>
    <w:p w14:paraId="499EED94" w14:textId="77777777" w:rsidR="00394201" w:rsidRDefault="002E2042">
      <w:pPr>
        <w:pStyle w:val="a3"/>
        <w:spacing w:before="0" w:after="0" w:line="312" w:lineRule="auto"/>
        <w:jc w:val="center"/>
        <w:rPr>
          <w:rFonts w:ascii="FangSong" w:eastAsia="FangSong" w:hAnsi="FangSong"/>
          <w:sz w:val="28"/>
          <w:lang w:eastAsia="zh-CN"/>
        </w:rPr>
      </w:pPr>
      <w:r>
        <w:rPr>
          <w:rFonts w:ascii="FangSong" w:eastAsia="FangSong" w:hAnsi="FangSong" w:hint="eastAsia"/>
          <w:sz w:val="28"/>
          <w:lang w:eastAsia="zh-CN"/>
        </w:rPr>
        <w:t>战略部（智库）对标分析简报</w:t>
      </w:r>
      <w:proofErr w:type="gramStart"/>
      <w:r>
        <w:rPr>
          <w:rFonts w:ascii="FangSong" w:eastAsia="FangSong" w:hAnsi="FangSong" w:hint="eastAsia"/>
          <w:sz w:val="28"/>
          <w:lang w:eastAsia="zh-CN"/>
        </w:rPr>
      </w:r>
      <w:proofErr w:type="gramEnd"/>
      <w:r>
        <w:rPr>
          <w:rFonts w:ascii="FangSong" w:eastAsia="FangSong" w:hAnsi="FangSong" w:hint="eastAsia"/>
          <w:sz w:val="28"/>
          <w:lang w:eastAsia="zh-CN"/>
        </w:rPr>
      </w:r>
    </w:p>
    <w:p w14:paraId="5066AAE1" w14:textId="77777777" w:rsidR="00394201" w:rsidRDefault="002E2042">
      <w:pPr>
        <w:snapToGrid w:val="0"/>
        <w:spacing w:before="60" w:line="312" w:lineRule="auto"/>
        <w:ind w:firstLineChars="200" w:firstLine="560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截至2026年6月1日，本报告基于系统最新公开信息监测结果自动生成。本轮共读取33行爬取结果，正文优先引用本轮监测中的主体、字段和公开来源线索；表格保留运营商业绩模板的结构化基线，用于和后续新披露数据持续对照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Start w:id="2" w:name="_Hlk225772476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bookmarkEnd w:id="2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FB884F8" w14:textId="77777777" w:rsidR="00394201" w:rsidRDefault="002E2042">
      <w:pPr>
        <w:spacing w:line="312" w:lineRule="auto"/>
        <w:jc w:val="center"/>
        <w:rPr>
          <w:rFonts w:ascii="FangSong" w:eastAsia="FangSong" w:hAnsi="FangSong"/>
          <w:b/>
          <w:sz w:val="32"/>
          <w:lang w:eastAsia="zh-CN"/>
        </w:rPr>
      </w:pPr>
      <w:r>
        <w:rPr>
          <w:rFonts w:ascii="FangSong" w:eastAsia="FangSong" w:hAnsi="FangSong" w:hint="eastAsia"/>
          <w:b/>
          <w:sz w:val="32"/>
          <w:lang w:eastAsia="zh-CN"/>
        </w:rPr>
        <w:t>表：运营商业绩基线数据汇总（用于后续滚动对照）</w:t>
      </w:r>
      <w:r>
        <w:rPr>
          <w:rFonts w:ascii="FangSong" w:eastAsia="FangSong" w:hAnsi="FangSong"/>
          <w:b/>
          <w:sz w:val="32"/>
          <w:lang w:eastAsia="zh-CN"/>
        </w:rPr>
      </w:r>
      <w:r>
        <w:rPr>
          <w:rFonts w:ascii="FangSong" w:eastAsia="FangSong" w:hAnsi="FangSong" w:hint="eastAsia"/>
          <w:b/>
          <w:sz w:val="32"/>
          <w:lang w:eastAsia="zh-CN"/>
        </w:rPr>
      </w:r>
    </w:p>
    <w:tbl>
      <w:tblPr>
        <w:tblStyle w:val="ad"/>
        <w:tblW w:w="8818" w:type="dxa"/>
        <w:jc w:val="center"/>
        <w:tblLook w:val="04A0" w:firstRow="1" w:lastRow="0" w:firstColumn="1" w:lastColumn="0" w:noHBand="0" w:noVBand="1"/>
      </w:tblPr>
      <w:tblGrid>
        <w:gridCol w:w="2701"/>
        <w:gridCol w:w="1382"/>
        <w:gridCol w:w="1382"/>
        <w:gridCol w:w="1383"/>
        <w:gridCol w:w="1970"/>
      </w:tblGrid>
      <w:tr w:rsidR="00BA3003" w14:paraId="58BB608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/>
          </w:p>
        </w:tc>
        <w:tc>
          <w:tcPr>
            <w:tcW w:w="1382" w:type="dxa"/>
          </w:tcPr>
          <w:p>
            <w:r>
              <w:t>中国移动</w:t>
            </w:r>
          </w:p>
        </w:tc>
        <w:tc>
          <w:tcPr>
            <w:tcW w:w="1382" w:type="dxa"/>
          </w:tcPr>
          <w:p>
            <w:r>
              <w:t>中国电信</w:t>
            </w:r>
          </w:p>
        </w:tc>
        <w:tc>
          <w:tcPr>
            <w:tcW w:w="1383" w:type="dxa"/>
          </w:tcPr>
          <w:p>
            <w:r>
              <w:t>中国联通</w:t>
            </w:r>
          </w:p>
        </w:tc>
        <w:tc>
          <w:tcPr>
            <w:tcW w:w="1970" w:type="dxa"/>
          </w:tcPr>
          <w:p>
            <w:r>
              <w:t>中国铁塔</w:t>
            </w:r>
          </w:p>
        </w:tc>
      </w:tr>
      <w:tr w:rsidR="00BA3003" w14:paraId="724C57C1" w14:textId="77777777" w:rsidTr="00BA3003">
        <w:trPr>
          <w:trHeight w:val="977"/>
          <w:jc w:val="center"/>
        </w:trPr>
        <w:tc>
          <w:tcPr>
            <w:tcW w:w="2701" w:type="dxa"/>
          </w:tcPr>
          <w:p>
            <w:r>
              <w:t>营业收入（亿元）</w:t>
            </w:r>
          </w:p>
        </w:tc>
        <w:tc>
          <w:tcPr>
            <w:tcW w:w="1382" w:type="dxa"/>
          </w:tcPr>
          <w:p>
            <w:r>
              <w:t>10502</w:t>
              <w:br/>
              <w:t>+0.9%</w:t>
            </w:r>
          </w:p>
        </w:tc>
        <w:tc>
          <w:tcPr>
            <w:tcW w:w="1382" w:type="dxa"/>
          </w:tcPr>
          <w:p>
            <w:r>
              <w:t>5296</w:t>
              <w:br/>
              <w:t>+0.03%</w:t>
            </w:r>
          </w:p>
        </w:tc>
        <w:tc>
          <w:tcPr>
            <w:tcW w:w="1383" w:type="dxa"/>
          </w:tcPr>
          <w:p>
            <w:r>
              <w:t>3922</w:t>
              <w:br/>
              <w:t>+0.7%</w:t>
            </w:r>
          </w:p>
        </w:tc>
        <w:tc>
          <w:tcPr>
            <w:tcW w:w="1970" w:type="dxa"/>
          </w:tcPr>
          <w:p>
            <w:r>
              <w:t>1004</w:t>
              <w:br/>
              <w:t>+2.7%</w:t>
            </w:r>
          </w:p>
        </w:tc>
      </w:tr>
      <w:tr w:rsidR="00BA3003" w14:paraId="21098F54" w14:textId="77777777" w:rsidTr="00BA3003">
        <w:trPr>
          <w:trHeight w:val="1215"/>
          <w:jc w:val="center"/>
        </w:trPr>
        <w:tc>
          <w:tcPr>
            <w:tcW w:w="2701" w:type="dxa"/>
          </w:tcPr>
          <w:p>
            <w:r>
              <w:t>主营业务收入（亿元）</w:t>
            </w:r>
          </w:p>
        </w:tc>
        <w:tc>
          <w:tcPr>
            <w:tcW w:w="1382" w:type="dxa"/>
          </w:tcPr>
          <w:p>
            <w:r>
              <w:t>8955</w:t>
              <w:br/>
              <w:t>+0.7%</w:t>
            </w:r>
          </w:p>
        </w:tc>
        <w:tc>
          <w:tcPr>
            <w:tcW w:w="1382" w:type="dxa"/>
          </w:tcPr>
          <w:p>
            <w:r>
              <w:t>4854</w:t>
              <w:br/>
              <w:t>+0.7%</w:t>
            </w:r>
          </w:p>
        </w:tc>
        <w:tc>
          <w:tcPr>
            <w:tcW w:w="1383" w:type="dxa"/>
          </w:tcPr>
          <w:p>
            <w:r>
              <w:t>3477</w:t>
              <w:br/>
              <w:t>+0.5%</w:t>
            </w:r>
          </w:p>
        </w:tc>
        <w:tc>
          <w:tcPr>
            <w:tcW w:w="1970" w:type="dxa"/>
          </w:tcPr>
          <w:p>
            <w:r>
              <w:t>运营商业务收入 847.25亿元 +0.7%</w:t>
            </w:r>
          </w:p>
        </w:tc>
      </w:tr>
      <w:tr w:rsidR="00BA3003" w14:paraId="4BC2B377" w14:textId="77777777" w:rsidTr="00BA3003">
        <w:trPr>
          <w:trHeight w:val="912"/>
          <w:jc w:val="center"/>
        </w:trPr>
        <w:tc>
          <w:tcPr>
            <w:tcW w:w="2701" w:type="dxa"/>
          </w:tcPr>
          <w:p>
            <w:r>
              <w:t>EBITDA(亿元)</w:t>
            </w:r>
          </w:p>
        </w:tc>
        <w:tc>
          <w:tcPr>
            <w:tcW w:w="1382" w:type="dxa"/>
          </w:tcPr>
          <w:p>
            <w:r>
              <w:t>3389</w:t>
              <w:br/>
              <w:t>+1.6%</w:t>
            </w:r>
          </w:p>
        </w:tc>
        <w:tc>
          <w:tcPr>
            <w:tcW w:w="1382" w:type="dxa"/>
          </w:tcPr>
          <w:p>
            <w:r>
              <w:t>1439</w:t>
              <w:br/>
              <w:t>+2.1%</w:t>
            </w:r>
          </w:p>
        </w:tc>
        <w:tc>
          <w:tcPr>
            <w:tcW w:w="1383" w:type="dxa"/>
          </w:tcPr>
          <w:p>
            <w:r>
              <w:t>994</w:t>
              <w:br/>
              <w:t>+0%</w:t>
            </w:r>
          </w:p>
        </w:tc>
        <w:tc>
          <w:tcPr>
            <w:tcW w:w="1970" w:type="dxa"/>
          </w:tcPr>
          <w:p>
            <w:r>
              <w:t>658.14</w:t>
              <w:br/>
              <w:t>-1.1%</w:t>
            </w:r>
          </w:p>
        </w:tc>
      </w:tr>
      <w:tr w:rsidR="00BA3003" w14:paraId="7045117A" w14:textId="77777777" w:rsidTr="00BA3003">
        <w:trPr>
          <w:trHeight w:val="1089"/>
          <w:jc w:val="center"/>
        </w:trPr>
        <w:tc>
          <w:tcPr>
            <w:tcW w:w="2701" w:type="dxa"/>
          </w:tcPr>
          <w:p>
            <w:r>
              <w:t>归母净利润（亿元）</w:t>
            </w:r>
          </w:p>
        </w:tc>
        <w:tc>
          <w:tcPr>
            <w:tcW w:w="1382" w:type="dxa"/>
          </w:tcPr>
          <w:p>
            <w:r>
              <w:t>1371</w:t>
              <w:br/>
              <w:t>-0.9%</w:t>
            </w:r>
          </w:p>
        </w:tc>
        <w:tc>
          <w:tcPr>
            <w:tcW w:w="1382" w:type="dxa"/>
          </w:tcPr>
          <w:p>
            <w:r>
              <w:t>332</w:t>
              <w:br/>
              <w:t>+0.5%</w:t>
            </w:r>
          </w:p>
        </w:tc>
        <w:tc>
          <w:tcPr>
            <w:tcW w:w="1383" w:type="dxa"/>
          </w:tcPr>
          <w:p>
            <w:r>
              <w:t>91</w:t>
              <w:br/>
              <w:t>+1.1%</w:t>
            </w:r>
          </w:p>
        </w:tc>
        <w:tc>
          <w:tcPr>
            <w:tcW w:w="1970" w:type="dxa"/>
          </w:tcPr>
          <w:p>
            <w:r>
              <w:t>116</w:t>
              <w:br/>
              <w:t>+8.4%</w:t>
            </w:r>
          </w:p>
        </w:tc>
      </w:tr>
      <w:tr w:rsidR="00BA3003" w14:paraId="788B3B0A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净利率</w:t>
            </w:r>
          </w:p>
        </w:tc>
        <w:tc>
          <w:tcPr>
            <w:tcW w:w="1382" w:type="dxa"/>
          </w:tcPr>
          <w:p>
            <w:r>
              <w:t>13.1%</w:t>
            </w:r>
          </w:p>
        </w:tc>
        <w:tc>
          <w:tcPr>
            <w:tcW w:w="1382" w:type="dxa"/>
          </w:tcPr>
          <w:p>
            <w:r>
              <w:t>6.3%</w:t>
            </w:r>
          </w:p>
        </w:tc>
        <w:tc>
          <w:tcPr>
            <w:tcW w:w="1383" w:type="dxa"/>
          </w:tcPr>
          <w:p>
            <w:r>
              <w:t>2.3%</w:t>
            </w:r>
          </w:p>
        </w:tc>
        <w:tc>
          <w:tcPr>
            <w:tcW w:w="1970" w:type="dxa"/>
          </w:tcPr>
          <w:p>
            <w:r>
              <w:t>11.6%</w:t>
            </w:r>
          </w:p>
        </w:tc>
      </w:tr>
      <w:tr w:rsidR="00BA3003" w14:paraId="10705560" w14:textId="77777777" w:rsidTr="00BA3003">
        <w:trPr>
          <w:trHeight w:val="601"/>
          <w:jc w:val="center"/>
        </w:trPr>
        <w:tc>
          <w:tcPr>
            <w:tcW w:w="2701" w:type="dxa"/>
          </w:tcPr>
          <w:p>
            <w:r>
              <w:t>资本开支（亿元）</w:t>
            </w:r>
          </w:p>
        </w:tc>
        <w:tc>
          <w:tcPr>
            <w:tcW w:w="1382" w:type="dxa"/>
          </w:tcPr>
          <w:p>
            <w:r>
              <w:t>1509</w:t>
              <w:br/>
              <w:t>-8.0%</w:t>
            </w:r>
          </w:p>
        </w:tc>
        <w:tc>
          <w:tcPr>
            <w:tcW w:w="1382" w:type="dxa"/>
          </w:tcPr>
          <w:p>
            <w:r>
              <w:t>804</w:t>
              <w:br/>
              <w:t>-14.0%</w:t>
            </w:r>
          </w:p>
        </w:tc>
        <w:tc>
          <w:tcPr>
            <w:tcW w:w="1383" w:type="dxa"/>
          </w:tcPr>
          <w:p>
            <w:r>
              <w:t>542</w:t>
              <w:br/>
              <w:t>-11.7%</w:t>
            </w:r>
          </w:p>
        </w:tc>
        <w:tc>
          <w:tcPr>
            <w:tcW w:w="1970" w:type="dxa"/>
          </w:tcPr>
          <w:p>
            <w:r>
              <w:t>295</w:t>
              <w:br/>
              <w:t>-7.7%</w:t>
            </w:r>
          </w:p>
        </w:tc>
      </w:tr>
      <w:tr w:rsidR="00BA3003" w14:paraId="6F9B501E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资本开支2026年计划（亿元）</w:t>
            </w:r>
          </w:p>
        </w:tc>
        <w:tc>
          <w:tcPr>
            <w:tcW w:w="1382" w:type="dxa"/>
          </w:tcPr>
          <w:p>
            <w:r>
              <w:t>1366</w:t>
            </w:r>
          </w:p>
        </w:tc>
        <w:tc>
          <w:tcPr>
            <w:tcW w:w="1382" w:type="dxa"/>
          </w:tcPr>
          <w:p>
            <w:r>
              <w:t>730</w:t>
            </w:r>
          </w:p>
        </w:tc>
        <w:tc>
          <w:tcPr>
            <w:tcW w:w="1383" w:type="dxa"/>
          </w:tcPr>
          <w:p>
            <w:r>
              <w:t>500</w:t>
            </w:r>
          </w:p>
        </w:tc>
        <w:tc>
          <w:tcPr>
            <w:tcW w:w="1970" w:type="dxa"/>
          </w:tcPr>
          <w:p>
            <w:r>
              <w:t>未披露</w:t>
            </w:r>
          </w:p>
        </w:tc>
      </w:tr>
      <w:tr w:rsidR="00BA3003" w14:paraId="433CAB3D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移动用户数（亿户）</w:t>
            </w:r>
          </w:p>
        </w:tc>
        <w:tc>
          <w:tcPr>
            <w:tcW w:w="1382" w:type="dxa"/>
          </w:tcPr>
          <w:p>
            <w:r>
              <w:t>10.05</w:t>
            </w:r>
          </w:p>
        </w:tc>
        <w:tc>
          <w:tcPr>
            <w:tcW w:w="1382" w:type="dxa"/>
          </w:tcPr>
          <w:p>
            <w:r>
              <w:t>4.39</w:t>
            </w:r>
          </w:p>
        </w:tc>
        <w:tc>
          <w:tcPr>
            <w:tcW w:w="1383" w:type="dxa"/>
          </w:tcPr>
          <w:p>
            <w:r>
              <w:t>3.57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3C2B5CD4" w14:textId="77777777" w:rsidTr="00BA3003">
        <w:trPr>
          <w:trHeight w:val="569"/>
          <w:jc w:val="center"/>
        </w:trPr>
        <w:tc>
          <w:tcPr>
            <w:tcW w:w="2701" w:type="dxa"/>
          </w:tcPr>
          <w:p>
            <w:r>
              <w:t>5G网络用户数（亿户）</w:t>
            </w:r>
          </w:p>
        </w:tc>
        <w:tc>
          <w:tcPr>
            <w:tcW w:w="1382" w:type="dxa"/>
          </w:tcPr>
          <w:p>
            <w:r>
              <w:t>6.42</w:t>
            </w:r>
          </w:p>
        </w:tc>
        <w:tc>
          <w:tcPr>
            <w:tcW w:w="1382" w:type="dxa"/>
          </w:tcPr>
          <w:p>
            <w:r>
              <w:t>3.02</w:t>
            </w:r>
          </w:p>
        </w:tc>
        <w:tc>
          <w:tcPr>
            <w:tcW w:w="1383" w:type="dxa"/>
          </w:tcPr>
          <w:p>
            <w:r>
              <w:t>2.32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  <w:tr w:rsidR="00BA3003" w14:paraId="554C3DD1" w14:textId="77777777" w:rsidTr="00BA3003">
        <w:trPr>
          <w:trHeight w:val="50"/>
          <w:jc w:val="center"/>
        </w:trPr>
        <w:tc>
          <w:tcPr>
            <w:tcW w:w="2701" w:type="dxa"/>
          </w:tcPr>
          <w:p>
            <w:r>
              <w:t>5G网络渗透率</w:t>
            </w:r>
          </w:p>
        </w:tc>
        <w:tc>
          <w:tcPr>
            <w:tcW w:w="1382" w:type="dxa"/>
          </w:tcPr>
          <w:p>
            <w:r>
              <w:t>63.9%</w:t>
            </w:r>
          </w:p>
        </w:tc>
        <w:tc>
          <w:tcPr>
            <w:tcW w:w="1382" w:type="dxa"/>
          </w:tcPr>
          <w:p>
            <w:r>
              <w:t>68.8%</w:t>
            </w:r>
          </w:p>
        </w:tc>
        <w:tc>
          <w:tcPr>
            <w:tcW w:w="1383" w:type="dxa"/>
          </w:tcPr>
          <w:p>
            <w:r>
              <w:t>65.0%</w:t>
            </w:r>
          </w:p>
        </w:tc>
        <w:tc>
          <w:tcPr>
            <w:tcW w:w="1970" w:type="dxa"/>
          </w:tcPr>
          <w:p>
            <w:r>
              <w:t>不涉及</w:t>
            </w:r>
          </w:p>
        </w:tc>
      </w:tr>
    </w:tbl>
    <w:p w14:paraId="47F3CC3F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一、本轮监测总体判断</w:t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6EEF6141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本轮共载入33行公开信息监测结果，其中完整成功27行、部分成功5行、异常或无抽取1行。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B5A2805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主体覆盖：HKBN、HKT、csl、1O1O、3HK、Hutchison、SmarTone、行业资讯。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53A37E2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高频主题：资本开支、EBITDA、净利润、ARPU、5G-A、服务收入、客户数（移动用户数、后付用户数。</w:t>
      </w:r>
    </w:p>
    <w:p w14:paraId="2B70168C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字段完整性：当前仍有9个字段需要补充或人工复核，后续应优先补齐经营指标、资本开支、用户数和派息等可量化字段。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FE59398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二、香港本地运营商动态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E29713B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第2行（HKT、csl、1O1O，ok）：运营收入（年报中常用：总收益）、服务收入、EBITDA、净利润、客户数（移动用户数、后付用户数、预付用户数、5G用户数）、宽频线数/家宽用户数、ARPU、资本开支。运营收入/总收益：来源： https://stockanalysis.com/quote/hkg/6823/revenue/ HKT Trust and HKT (HKG:6823) Revenue Skip to main content Log In Sign Up Home Watchlist Stocks Stock Screener Stock Exchanges…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0A8EFEBD" w14:textId="77777777" w:rsidR="00394201" w:rsidRDefault="002E2042">
      <w:pPr>
        <w:pStyle w:val="af"/>
        <w:numPr>
          <w:ilvl w:val="0"/>
          <w:numId w:val="2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第3行（HKT、csl、1O1O，ok）：5G套餐（产品规格、合约期、资费、增值服务）、家宽套餐（产品规格、合约期、资费、叠加服务）、企业专线、漫游、融合套餐、促销折扣。5G套餐：来源： https://www.hkcsl-5g.com/en/5g-tariff-plan/ csl 5G csl 5G 5G service plan 5G handset 5G application FAQ 中 | Brand Site 5G service plan 5G Service Plan 5G Multi-User Service Pl…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B0198D5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第4行（HKT、csl、1O1O，partial）：战略合作、中标、投资并购、重点技术（5G-A、网络API、边缘计算、数据中心等）、高管人事变动。战略合作：Internet Security Solution Norton 360 series Hong Kong Winterfest - WinterFest Delights Prepaid Local Service Travel Prepaid SIM Visitors to HK Dealer Prepaid SIM &amp; Others csl APP…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3D279F1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第8行（SmarTone，ok）：运营收入（收入）、服务收入（服務收入及其他相關服務）、EBITDA、净利润、客户数（移动用户数、后付用户数、预付用户数、5G用户数）、ARPU、资本开支。运营收入/总收益：those expressed or implied or forecasted in any of these forward-looking statements. 2 Solid business performance in a competitive market Year-on-Year Financial Achievements Total…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324F82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三、经营指标与资本开支线索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22BF902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第2行（HKT、csl、1O1O，ok）：运营收入（年报中常用：总收益）、服务收入、EBITDA、净利润、客户数（移动用户数、后付用户数、预付用户数、5G用户数）、宽频线数/家宽用户数、ARPU、资本开支。运营收入/总收益：来源： https://stockanalysis.com/quote/hkg/6823/revenue/ HKT Trust and HKT (HKG:6823) Revenue Skip to main content Log In Sign Up Home Watchlist Stocks Stock Screener Stock Exchanges…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65169C14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第3行（HKT、csl、1O1O，ok）：5G套餐（产品规格、合约期、资费、增值服务）、家宽套餐（产品规格、合约期、资费、叠加服务）、企业专线、漫游、融合套餐、促销折扣。5G套餐：来源： https://www.hkcsl-5g.com/en/5g-tariff-plan/ csl 5G csl 5G 5G service plan 5G handset 5G application FAQ 中 | Brand Site 5G service plan 5G Service Plan 5G Multi-User Service Pl…</w:t>
      </w:r>
    </w:p>
    <w:p w14:paraId="4BE59FF0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第4行（HKT、csl、1O1O，partial）：战略合作、中标、投资并购、重点技术（5G-A、网络API、边缘计算、数据中心等）、高管人事变动。战略合作：Internet Security Solution Norton 360 series Hong Kong Winterfest - WinterFest Delights Prepaid Local Service Travel Prepaid SIM Visitors to HK Dealer Prepaid SIM &amp; Others csl APP…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797B837" w14:textId="77777777" w:rsidR="00394201" w:rsidRDefault="002E2042">
      <w:pPr>
        <w:pStyle w:val="af"/>
        <w:numPr>
          <w:ilvl w:val="1"/>
          <w:numId w:val="3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第5行（3HK、Hutchison，ok）：运营收入（总收益）、服务收入、EBITDA、净利润、客户数（移动用户数、后付用户数、预付用户数、5G用户数）、ARPU、资本开支。运营收入/总收益：effect from 8 December 2025 2 Hutchison Telecommunications Hong Kong Holdings Limited Financial Highlights 2025 2024 (1) HK$ million HK$ million Change Hong Kong operations Total…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9361E01" w14:textId="77777777" w:rsidR="00394201" w:rsidRDefault="002E2042">
      <w:pPr>
        <w:pStyle w:val="af"/>
        <w:numPr>
          <w:ilvl w:val="0"/>
          <w:numId w:val="4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四、AI、算力及政企能力变化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45E42671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第4行（HKT、csl、1O1O，partial）：战略合作、中标、投资并购、重点技术（5G-A、网络API、边缘计算、数据中心等）、高管人事变动。战略合作：Internet Security Solution Norton 360 series Hong Kong Winterfest - WinterFest Delights Prepaid Local Service Travel Prepaid SIM Visitors to HK Dealer Prepaid SIM &amp; Others csl APP…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2643226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第7行（3HK、Hutchison，ok）：战略合作、中标、5G-A、企业ICT、IoT、区域动作。战略合作：Consecutive Year as Official Partner of Art Basel Hong Kong 09 Mar 2026 2025 Annual Results Announcement Media Highlights 25 Sep 2025 Business Leaders Connect at 3Business Empower…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A053A13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  <w:t>第10行（SmarTone，ok）：战略合作、中标、5G-A、家宽布局、区域动作。战略合作：demand for premium home connectivity. • Enhanced home service offering now includes 5G Broadband, Disney+ content, and Home Phone Plus—a compelling family proposition. • Strategic…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74491257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第14行（HKBN，ok）：宽带套餐、企业ICT、云/安全、融合产品、重大合作、区域布局。宽带套餐：red stable performance, with revenue remaining steady at $2,333 million, supported by stable customer retention and strategic service enhancements. The total number of residential…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585E8070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五、运营商业绩基线对照</w:t>
      </w:r>
    </w:p>
    <w:p w14:paraId="3C722CDE" w14:textId="77777777" w:rsidR="00394201" w:rsidRDefault="002E2042">
      <w:pPr>
        <w:pStyle w:val="af"/>
        <w:numPr>
          <w:ilvl w:val="1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中国移动：营业收入10502 +0.9%，主营业务收入8955 +0.7%，EBITDA3389 +1.6%，归母净利润1371 -0.9%，净利率13.1%；资本开支1509 -8.0%，2026年计划1366；移动用户10.05，5G用户6.42，5G渗透率63.9%。</w:t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2056DDDF" w14:textId="77777777" w:rsidR="00394201" w:rsidRDefault="002E2042">
      <w:pPr>
        <w:pStyle w:val="af"/>
        <w:numPr>
          <w:ilvl w:val="1"/>
          <w:numId w:val="6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  <w:t>中国电信：营业收入5296 +0.03%，主营业务收入4854 +0.7%，EBITDA1439 +2.1%，归母净利润332 +0.5%，净利率6.3%；资本开支804 -14.0%，2026年计划730；移动用户4.39，5G用户3.02，5G渗透率68.8%。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Start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proofErr w:type="gramEnd"/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0D56653B" w14:textId="77777777" w:rsidR="00394201" w:rsidRDefault="002E2042">
      <w:pPr>
        <w:pStyle w:val="af"/>
        <w:numPr>
          <w:ilvl w:val="0"/>
          <w:numId w:val="5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中国联通：营业收入3922 +0.7%，主营业务收入3477 +0.5%，EBITDA994 +0%，归母净利润91 +1.1%，净利率2.3%；资本开支542 -11.7%，2026年计划500；移动用户3.57，5G用户2.32，5G渗透率65.0%。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p w14:paraId="30392638" w14:textId="77777777" w:rsidR="00394201" w:rsidRDefault="002E2042">
      <w:pPr>
        <w:pStyle w:val="af"/>
        <w:numPr>
          <w:ilvl w:val="0"/>
          <w:numId w:val="1"/>
        </w:numPr>
        <w:spacing w:before="180" w:line="312" w:lineRule="auto"/>
        <w:ind w:leftChars="0"/>
        <w:jc w:val="both"/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pP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  <w:t>中国铁塔：营业收入1004 +2.7%，主营业务收入运营商业务收入 847.25亿元 +0.7%，EBITDA658.14 -1.1%，归母净利润116 +8.4%，净利率11.6%；资本开支295 -7.7%，2026年计划未披露；移动用户不涉及，5G用户不涉及，5G渗透率不涉及。</w:t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/>
          <w:b/>
          <w:sz w:val="32"/>
          <w:szCs w:val="32"/>
          <w:lang w:eastAsia="zh-CN"/>
        </w:rPr>
      </w:r>
      <w:r>
        <w:rPr>
          <w:rFonts w:ascii="Times New Roman" w:eastAsia="FangSong_GB2312" w:hAnsi="Times New Roman" w:cs="Times New Roman" w:hint="eastAsia"/>
          <w:b/>
          <w:sz w:val="32"/>
          <w:szCs w:val="32"/>
          <w:lang w:eastAsia="zh-CN"/>
        </w:rPr>
      </w:r>
    </w:p>
    <w:p w14:paraId="1B7BF9C1" w14:textId="77777777" w:rsidR="00394201" w:rsidRDefault="002E2042">
      <w:pPr>
        <w:pStyle w:val="af"/>
        <w:numPr>
          <w:ilvl w:val="0"/>
          <w:numId w:val="7"/>
        </w:numPr>
        <w:snapToGrid w:val="0"/>
        <w:spacing w:before="180" w:line="312" w:lineRule="auto"/>
        <w:ind w:leftChars="0"/>
        <w:jc w:val="both"/>
        <w:outlineLvl w:val="3"/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pPr>
      <w:r>
        <w:rPr>
          <w:rFonts w:ascii="FangSong" w:eastAsia="FangSong" w:hAnsi="FangSong" w:cs="Times New Roman" w:hint="eastAsia"/>
          <w:b/>
          <w:bCs/>
          <w:snapToGrid w:val="0"/>
          <w:kern w:val="24"/>
          <w:sz w:val="28"/>
          <w:szCs w:val="24"/>
          <w:lang w:eastAsia="zh-CN"/>
        </w:rPr>
        <w:t>后续建议：在下一轮爬取中补充各公司财报公告、业绩演示材料、交易所披露与券商观点链接，形成可追溯的指标更新链路。</w:t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/>
          <w:bCs/>
          <w:snapToGrid w:val="0"/>
          <w:kern w:val="24"/>
          <w:sz w:val="28"/>
          <w:szCs w:val="24"/>
          <w:lang w:eastAsia="zh-CN"/>
        </w:rPr>
      </w:r>
      <w:r>
        <w:rPr>
          <w:rFonts w:ascii="FangSong" w:eastAsia="FangSong" w:hAnsi="FangSong" w:cs="Times New Roman" w:hint="eastAsia"/>
          <w:bCs/>
          <w:snapToGrid w:val="0"/>
          <w:kern w:val="24"/>
          <w:sz w:val="28"/>
          <w:szCs w:val="24"/>
          <w:lang w:eastAsia="zh-CN"/>
        </w:rPr>
      </w:r>
    </w:p>
    <w:sectPr w:rsidR="00394201">
      <w:footerReference w:type="default" r:id="rId8"/>
      <w:pgSz w:w="11906" w:h="16838"/>
      <w:pgMar w:top="1440" w:right="1531" w:bottom="1440" w:left="153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CF131" w14:textId="77777777" w:rsidR="002E2042" w:rsidRDefault="002E2042">
      <w:r>
        <w:separator/>
      </w:r>
    </w:p>
  </w:endnote>
  <w:endnote w:type="continuationSeparator" w:id="0">
    <w:p w14:paraId="7DF90BE5" w14:textId="77777777" w:rsidR="002E2042" w:rsidRDefault="002E2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汉仪仿宋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_GB2312">
    <w:altName w:val="汉仪仿宋KW"/>
    <w:panose1 w:val="02010609060101010101"/>
    <w:charset w:val="86"/>
    <w:family w:val="modern"/>
    <w:pitch w:val="fixed"/>
    <w:sig w:usb0="00000003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"/>
    </w:sdtPr>
    <w:sdtEndPr/>
    <w:sdtContent>
      <w:p w14:paraId="5ED3F80B" w14:textId="77777777" w:rsidR="00394201" w:rsidRDefault="002E204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9A9DBB3" w14:textId="77777777" w:rsidR="00394201" w:rsidRDefault="0039420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4622A9" w14:textId="77777777" w:rsidR="002E2042" w:rsidRDefault="002E2042">
      <w:r>
        <w:separator/>
      </w:r>
    </w:p>
  </w:footnote>
  <w:footnote w:type="continuationSeparator" w:id="0">
    <w:p w14:paraId="61E0F990" w14:textId="77777777" w:rsidR="002E2042" w:rsidRDefault="002E2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70ABD"/>
    <w:multiLevelType w:val="multilevel"/>
    <w:tmpl w:val="04170ABD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F9956D2"/>
    <w:multiLevelType w:val="multilevel"/>
    <w:tmpl w:val="1F9956D2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45BF6363"/>
    <w:multiLevelType w:val="multilevel"/>
    <w:tmpl w:val="45BF6363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1EF7C35"/>
    <w:multiLevelType w:val="multilevel"/>
    <w:tmpl w:val="51EF7C3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B940A4D"/>
    <w:multiLevelType w:val="multilevel"/>
    <w:tmpl w:val="5B940A4D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DBB12EB"/>
    <w:multiLevelType w:val="multilevel"/>
    <w:tmpl w:val="5DBB12EB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72225702"/>
    <w:multiLevelType w:val="multilevel"/>
    <w:tmpl w:val="72225702"/>
    <w:lvl w:ilvl="0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3A3154"/>
    <w:multiLevelType w:val="multilevel"/>
    <w:tmpl w:val="743A315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5016AF5"/>
    <w:multiLevelType w:val="multilevel"/>
    <w:tmpl w:val="75016AF5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67F47FF"/>
    <w:multiLevelType w:val="multilevel"/>
    <w:tmpl w:val="767F47FF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ideographTradition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ideographTradition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3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480"/>
  <w:drawingGridHorizontalSpacing w:val="1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700"/>
    <w:rsid w:val="B4FE1CC7"/>
    <w:rsid w:val="D65F0366"/>
    <w:rsid w:val="DFAE3D4A"/>
    <w:rsid w:val="EF15C071"/>
    <w:rsid w:val="F4DF5194"/>
    <w:rsid w:val="F7FF56D3"/>
    <w:rsid w:val="FD77666E"/>
    <w:rsid w:val="FFCD9707"/>
    <w:rsid w:val="000365E5"/>
    <w:rsid w:val="00073E96"/>
    <w:rsid w:val="00074B7E"/>
    <w:rsid w:val="00081006"/>
    <w:rsid w:val="000C30BF"/>
    <w:rsid w:val="000C59F4"/>
    <w:rsid w:val="000F478D"/>
    <w:rsid w:val="001205E7"/>
    <w:rsid w:val="00153A7B"/>
    <w:rsid w:val="001563B9"/>
    <w:rsid w:val="00163934"/>
    <w:rsid w:val="00167CE0"/>
    <w:rsid w:val="0017432B"/>
    <w:rsid w:val="00182295"/>
    <w:rsid w:val="001A283F"/>
    <w:rsid w:val="001F3905"/>
    <w:rsid w:val="00260569"/>
    <w:rsid w:val="00271186"/>
    <w:rsid w:val="002A4456"/>
    <w:rsid w:val="002B09B3"/>
    <w:rsid w:val="002C1109"/>
    <w:rsid w:val="002D5422"/>
    <w:rsid w:val="002E2042"/>
    <w:rsid w:val="00304B2C"/>
    <w:rsid w:val="00313FCA"/>
    <w:rsid w:val="00333892"/>
    <w:rsid w:val="003636E1"/>
    <w:rsid w:val="00363DC9"/>
    <w:rsid w:val="00364278"/>
    <w:rsid w:val="003661ED"/>
    <w:rsid w:val="003800DF"/>
    <w:rsid w:val="0038542A"/>
    <w:rsid w:val="00394201"/>
    <w:rsid w:val="003B11B0"/>
    <w:rsid w:val="003C7B40"/>
    <w:rsid w:val="003D2577"/>
    <w:rsid w:val="00422CDB"/>
    <w:rsid w:val="00475AB2"/>
    <w:rsid w:val="00475E3C"/>
    <w:rsid w:val="00476D76"/>
    <w:rsid w:val="004A6E0C"/>
    <w:rsid w:val="004A7FEC"/>
    <w:rsid w:val="004C22C6"/>
    <w:rsid w:val="004C64DF"/>
    <w:rsid w:val="004D29B3"/>
    <w:rsid w:val="004D6737"/>
    <w:rsid w:val="004E573D"/>
    <w:rsid w:val="004F2838"/>
    <w:rsid w:val="005001D7"/>
    <w:rsid w:val="00500CF0"/>
    <w:rsid w:val="00507881"/>
    <w:rsid w:val="0052232F"/>
    <w:rsid w:val="0053358B"/>
    <w:rsid w:val="00541B4D"/>
    <w:rsid w:val="0055692C"/>
    <w:rsid w:val="005762C6"/>
    <w:rsid w:val="005C7273"/>
    <w:rsid w:val="006101EA"/>
    <w:rsid w:val="0066221C"/>
    <w:rsid w:val="00662DD1"/>
    <w:rsid w:val="00665E6A"/>
    <w:rsid w:val="00673609"/>
    <w:rsid w:val="006B2B3B"/>
    <w:rsid w:val="006C46EA"/>
    <w:rsid w:val="006D3885"/>
    <w:rsid w:val="00767264"/>
    <w:rsid w:val="00773929"/>
    <w:rsid w:val="00777485"/>
    <w:rsid w:val="00782529"/>
    <w:rsid w:val="00790718"/>
    <w:rsid w:val="007A0A74"/>
    <w:rsid w:val="007C3076"/>
    <w:rsid w:val="007D677D"/>
    <w:rsid w:val="00806979"/>
    <w:rsid w:val="008469C0"/>
    <w:rsid w:val="008A7647"/>
    <w:rsid w:val="008C7A6F"/>
    <w:rsid w:val="008D6965"/>
    <w:rsid w:val="008E3E9E"/>
    <w:rsid w:val="008E6C23"/>
    <w:rsid w:val="00905F44"/>
    <w:rsid w:val="00917E57"/>
    <w:rsid w:val="009238D6"/>
    <w:rsid w:val="00927674"/>
    <w:rsid w:val="00947F34"/>
    <w:rsid w:val="00951DE5"/>
    <w:rsid w:val="009A3A9A"/>
    <w:rsid w:val="009A422F"/>
    <w:rsid w:val="009D37EF"/>
    <w:rsid w:val="009E59C3"/>
    <w:rsid w:val="009E68FE"/>
    <w:rsid w:val="00A324D9"/>
    <w:rsid w:val="00A57E2E"/>
    <w:rsid w:val="00A9052A"/>
    <w:rsid w:val="00A91F4E"/>
    <w:rsid w:val="00AA090B"/>
    <w:rsid w:val="00AE0DA7"/>
    <w:rsid w:val="00B14554"/>
    <w:rsid w:val="00B14FFF"/>
    <w:rsid w:val="00B151C1"/>
    <w:rsid w:val="00B46A8E"/>
    <w:rsid w:val="00B6333A"/>
    <w:rsid w:val="00BA3003"/>
    <w:rsid w:val="00BE5500"/>
    <w:rsid w:val="00BE571C"/>
    <w:rsid w:val="00BE57C4"/>
    <w:rsid w:val="00BF0E56"/>
    <w:rsid w:val="00C35B70"/>
    <w:rsid w:val="00C574FC"/>
    <w:rsid w:val="00C63203"/>
    <w:rsid w:val="00C756FB"/>
    <w:rsid w:val="00CA720C"/>
    <w:rsid w:val="00CD0B58"/>
    <w:rsid w:val="00CE1479"/>
    <w:rsid w:val="00D04863"/>
    <w:rsid w:val="00D06E42"/>
    <w:rsid w:val="00D45101"/>
    <w:rsid w:val="00D47336"/>
    <w:rsid w:val="00D560D3"/>
    <w:rsid w:val="00D639E5"/>
    <w:rsid w:val="00D73F96"/>
    <w:rsid w:val="00D764F3"/>
    <w:rsid w:val="00D95100"/>
    <w:rsid w:val="00DD5BC6"/>
    <w:rsid w:val="00E21B7C"/>
    <w:rsid w:val="00E44DFB"/>
    <w:rsid w:val="00E62700"/>
    <w:rsid w:val="00E65610"/>
    <w:rsid w:val="00EB2E6C"/>
    <w:rsid w:val="00EE50A5"/>
    <w:rsid w:val="00F54222"/>
    <w:rsid w:val="00F83FFE"/>
    <w:rsid w:val="00FB0B49"/>
    <w:rsid w:val="00FC7F63"/>
    <w:rsid w:val="00FD1457"/>
    <w:rsid w:val="00FD3DFE"/>
    <w:rsid w:val="33F56AAA"/>
    <w:rsid w:val="57FC06AD"/>
    <w:rsid w:val="5FEB9984"/>
    <w:rsid w:val="7BD55BA6"/>
    <w:rsid w:val="7BE7181E"/>
    <w:rsid w:val="7FFA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ECD062"/>
  <w15:docId w15:val="{F2E78B9B-3439-4AD8-BB2A-BFF4B54F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rFonts w:asciiTheme="minorHAnsi" w:eastAsiaTheme="minorEastAsia" w:hAnsiTheme="minorHAnsi" w:cstheme="minorBidi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qFormat/>
    <w:pPr>
      <w:widowControl/>
      <w:spacing w:before="180" w:after="180"/>
    </w:pPr>
    <w:rPr>
      <w:kern w:val="0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footnote text"/>
    <w:basedOn w:val="a"/>
    <w:link w:val="ac"/>
    <w:uiPriority w:val="99"/>
    <w:semiHidden/>
    <w:unhideWhenUsed/>
    <w:qFormat/>
    <w:pPr>
      <w:snapToGrid w:val="0"/>
    </w:pPr>
    <w:rPr>
      <w:sz w:val="20"/>
      <w:szCs w:val="20"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footnote reference"/>
    <w:basedOn w:val="a0"/>
    <w:uiPriority w:val="99"/>
    <w:semiHidden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qFormat/>
    <w:rPr>
      <w:sz w:val="20"/>
      <w:szCs w:val="20"/>
    </w:rPr>
  </w:style>
  <w:style w:type="character" w:customStyle="1" w:styleId="a8">
    <w:name w:val="页脚 字符"/>
    <w:basedOn w:val="a0"/>
    <w:link w:val="a7"/>
    <w:uiPriority w:val="99"/>
    <w:qFormat/>
    <w:rPr>
      <w:sz w:val="20"/>
      <w:szCs w:val="20"/>
    </w:rPr>
  </w:style>
  <w:style w:type="paragraph" w:styleId="af">
    <w:name w:val="List Paragraph"/>
    <w:basedOn w:val="a"/>
    <w:uiPriority w:val="34"/>
    <w:qFormat/>
    <w:pPr>
      <w:ind w:leftChars="200" w:left="480"/>
    </w:p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ajorHAnsi" w:eastAsiaTheme="majorEastAsia" w:hAnsiTheme="majorHAnsi" w:cstheme="majorBidi"/>
      <w:sz w:val="18"/>
      <w:szCs w:val="18"/>
    </w:rPr>
  </w:style>
  <w:style w:type="paragraph" w:customStyle="1" w:styleId="1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4"/>
      <w:szCs w:val="22"/>
    </w:rPr>
  </w:style>
  <w:style w:type="character" w:customStyle="1" w:styleId="ac">
    <w:name w:val="脚注文本 字符"/>
    <w:basedOn w:val="a0"/>
    <w:link w:val="ab"/>
    <w:uiPriority w:val="99"/>
    <w:semiHidden/>
    <w:qFormat/>
    <w:rPr>
      <w:sz w:val="20"/>
      <w:szCs w:val="20"/>
    </w:rPr>
  </w:style>
  <w:style w:type="character" w:customStyle="1" w:styleId="a4">
    <w:name w:val="正文文本 字符"/>
    <w:basedOn w:val="a0"/>
    <w:link w:val="a3"/>
    <w:qFormat/>
    <w:rPr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849D239A-E944-4AC6-B251-CF911CC9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Christy WONG Suet Mui</dc:creator>
  <cp:lastModifiedBy>Christy WONG Suet Mui</cp:lastModifiedBy>
  <cp:revision>2</cp:revision>
  <cp:lastPrinted>2026-03-28T18:07:00Z</cp:lastPrinted>
  <dcterms:created xsi:type="dcterms:W3CDTF">2026-04-01T11:03:00Z</dcterms:created>
  <dcterms:modified xsi:type="dcterms:W3CDTF">2026-03-31T07:30:00Z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1FD0ADA8E92B34B33273CB696CE03839_43</vt:lpwstr>
  </property>
</Properties>
</file>