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7A724" w14:textId="77777777" w:rsidR="00394201" w:rsidRDefault="002E2042">
      <w:pPr>
        <w:snapToGrid w:val="0"/>
        <w:spacing w:beforeLines="50" w:before="180" w:line="360" w:lineRule="auto"/>
        <w:ind w:firstLineChars="200" w:firstLine="803"/>
        <w:jc w:val="center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pPr>
      <w:bookmarkStart w:id="0" w:name="OLE_LINK2"/>
      <w:bookmarkStart w:id="1" w:name="OLE_LINK1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  <w:t>各家运营商关键业绩摘要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</w:r>
    </w:p>
    <w:bookmarkEnd w:id="0"/>
    <w:bookmarkEnd w:id="1"/>
    <w:p w14:paraId="499EED94" w14:textId="77777777" w:rsidR="00394201" w:rsidRDefault="002E2042">
      <w:pPr>
        <w:pStyle w:val="a3"/>
        <w:spacing w:before="0" w:after="0" w:line="312" w:lineRule="auto"/>
        <w:jc w:val="center"/>
        <w:rPr>
          <w:rFonts w:ascii="FangSong" w:eastAsia="FangSong" w:hAnsi="FangSong"/>
          <w:sz w:val="28"/>
          <w:lang w:eastAsia="zh-CN"/>
        </w:rPr>
      </w:pPr>
      <w:r>
        <w:rPr>
          <w:rFonts w:ascii="FangSong" w:eastAsia="FangSong" w:hAnsi="FangSong" w:hint="eastAsia"/>
          <w:sz w:val="28"/>
          <w:lang w:eastAsia="zh-CN"/>
        </w:rPr>
        <w:t>战略部（智库）对标分析简报</w:t>
      </w:r>
      <w:proofErr w:type="gramStart"/>
      <w:r>
        <w:rPr>
          <w:rFonts w:ascii="FangSong" w:eastAsia="FangSong" w:hAnsi="FangSong" w:hint="eastAsia"/>
          <w:sz w:val="28"/>
          <w:lang w:eastAsia="zh-CN"/>
        </w:rPr>
      </w:r>
      <w:proofErr w:type="gramEnd"/>
      <w:r>
        <w:rPr>
          <w:rFonts w:ascii="FangSong" w:eastAsia="FangSong" w:hAnsi="FangSong" w:hint="eastAsia"/>
          <w:sz w:val="28"/>
          <w:lang w:eastAsia="zh-CN"/>
        </w:rPr>
      </w:r>
    </w:p>
    <w:p w14:paraId="5066AAE1" w14:textId="77777777" w:rsidR="00394201" w:rsidRDefault="002E2042">
      <w:pPr>
        <w:snapToGrid w:val="0"/>
        <w:spacing w:before="60" w:line="312" w:lineRule="auto"/>
        <w:ind w:firstLineChars="200" w:firstLine="560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截至2026年6月1日，中国移动、中国电信、中国联通及中国铁塔2025财年业绩均已发布。本摘要同步核对截至当前可获取的最新季度业绩、未经审核KPI、业绩公告及券商观点；年度业绩说明会日期与后续季度披露日期分别列示，供内部决策参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bookmarkStart w:id="2" w:name="_Hlk225772476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bookmarkEnd w:id="2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FB884F8" w14:textId="77777777" w:rsidR="00394201" w:rsidRDefault="002E2042">
      <w:pPr>
        <w:spacing w:line="312" w:lineRule="auto"/>
        <w:jc w:val="center"/>
        <w:rPr>
          <w:rFonts w:ascii="FangSong" w:eastAsia="FangSong" w:hAnsi="FangSong"/>
          <w:b/>
          <w:sz w:val="32"/>
          <w:lang w:eastAsia="zh-CN"/>
        </w:rPr>
      </w:pPr>
      <w:r>
        <w:rPr>
          <w:rFonts w:ascii="FangSong" w:eastAsia="FangSong" w:hAnsi="FangSong" w:hint="eastAsia"/>
          <w:b/>
          <w:sz w:val="32"/>
          <w:lang w:eastAsia="zh-CN"/>
        </w:rPr>
        <w:t>表：各家运营商2025年关键业绩数据汇总</w:t>
      </w:r>
      <w:r>
        <w:rPr>
          <w:rFonts w:ascii="FangSong" w:eastAsia="FangSong" w:hAnsi="FangSong"/>
          <w:b/>
          <w:sz w:val="32"/>
          <w:lang w:eastAsia="zh-CN"/>
        </w:rPr>
      </w:r>
      <w:r>
        <w:rPr>
          <w:rFonts w:ascii="FangSong" w:eastAsia="FangSong" w:hAnsi="FangSong" w:hint="eastAsia"/>
          <w:b/>
          <w:sz w:val="32"/>
          <w:lang w:eastAsia="zh-CN"/>
        </w:rPr>
      </w:r>
    </w:p>
    <w:tbl>
      <w:tblPr>
        <w:tblStyle w:val="ad"/>
        <w:tblW w:w="8818" w:type="dxa"/>
        <w:jc w:val="center"/>
        <w:tblLook w:val="04A0" w:firstRow="1" w:lastRow="0" w:firstColumn="1" w:lastColumn="0" w:noHBand="0" w:noVBand="1"/>
      </w:tblPr>
      <w:tblGrid>
        <w:gridCol w:w="2701"/>
        <w:gridCol w:w="1382"/>
        <w:gridCol w:w="1382"/>
        <w:gridCol w:w="1383"/>
        <w:gridCol w:w="1970"/>
      </w:tblGrid>
      <w:tr w:rsidR="00BA3003" w14:paraId="58BB608A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/>
          </w:p>
        </w:tc>
        <w:tc>
          <w:tcPr>
            <w:tcW w:w="1382" w:type="dxa"/>
          </w:tcPr>
          <w:p>
            <w:r>
              <w:t>中国移动</w:t>
            </w:r>
          </w:p>
        </w:tc>
        <w:tc>
          <w:tcPr>
            <w:tcW w:w="1382" w:type="dxa"/>
          </w:tcPr>
          <w:p>
            <w:r>
              <w:t>中国电信</w:t>
            </w:r>
          </w:p>
        </w:tc>
        <w:tc>
          <w:tcPr>
            <w:tcW w:w="1383" w:type="dxa"/>
          </w:tcPr>
          <w:p>
            <w:r>
              <w:t>中国联通</w:t>
            </w:r>
          </w:p>
        </w:tc>
        <w:tc>
          <w:tcPr>
            <w:tcW w:w="1970" w:type="dxa"/>
          </w:tcPr>
          <w:p>
            <w:r>
              <w:t>中国铁塔</w:t>
            </w:r>
          </w:p>
        </w:tc>
      </w:tr>
      <w:tr w:rsidR="00BA3003" w14:paraId="724C57C1" w14:textId="77777777" w:rsidTr="00BA3003">
        <w:trPr>
          <w:trHeight w:val="977"/>
          <w:jc w:val="center"/>
        </w:trPr>
        <w:tc>
          <w:tcPr>
            <w:tcW w:w="2701" w:type="dxa"/>
          </w:tcPr>
          <w:p>
            <w:r>
              <w:t>营业收入（亿元）</w:t>
            </w:r>
          </w:p>
        </w:tc>
        <w:tc>
          <w:tcPr>
            <w:tcW w:w="1382" w:type="dxa"/>
          </w:tcPr>
          <w:p>
            <w:r>
              <w:t>10502</w:t>
              <w:br/>
              <w:t>+0.9%</w:t>
            </w:r>
          </w:p>
        </w:tc>
        <w:tc>
          <w:tcPr>
            <w:tcW w:w="1382" w:type="dxa"/>
          </w:tcPr>
          <w:p>
            <w:r>
              <w:t>5296</w:t>
              <w:br/>
              <w:t>+0.03%</w:t>
            </w:r>
          </w:p>
        </w:tc>
        <w:tc>
          <w:tcPr>
            <w:tcW w:w="1383" w:type="dxa"/>
          </w:tcPr>
          <w:p>
            <w:r>
              <w:t>3922</w:t>
              <w:br/>
              <w:t>+0.7%</w:t>
            </w:r>
          </w:p>
        </w:tc>
        <w:tc>
          <w:tcPr>
            <w:tcW w:w="1970" w:type="dxa"/>
          </w:tcPr>
          <w:p>
            <w:r>
              <w:t>1004</w:t>
              <w:br/>
              <w:t>+2.7%</w:t>
            </w:r>
          </w:p>
        </w:tc>
      </w:tr>
      <w:tr w:rsidR="00BA3003" w14:paraId="21098F54" w14:textId="77777777" w:rsidTr="00BA3003">
        <w:trPr>
          <w:trHeight w:val="1215"/>
          <w:jc w:val="center"/>
        </w:trPr>
        <w:tc>
          <w:tcPr>
            <w:tcW w:w="2701" w:type="dxa"/>
          </w:tcPr>
          <w:p>
            <w:r>
              <w:t>主营业务收入（亿元）</w:t>
            </w:r>
          </w:p>
        </w:tc>
        <w:tc>
          <w:tcPr>
            <w:tcW w:w="1382" w:type="dxa"/>
          </w:tcPr>
          <w:p>
            <w:r>
              <w:t>8955</w:t>
              <w:br/>
              <w:t>+0.7%</w:t>
            </w:r>
          </w:p>
        </w:tc>
        <w:tc>
          <w:tcPr>
            <w:tcW w:w="1382" w:type="dxa"/>
          </w:tcPr>
          <w:p>
            <w:r>
              <w:t>4854</w:t>
              <w:br/>
              <w:t>+0.7%</w:t>
            </w:r>
          </w:p>
        </w:tc>
        <w:tc>
          <w:tcPr>
            <w:tcW w:w="1383" w:type="dxa"/>
          </w:tcPr>
          <w:p>
            <w:r>
              <w:t>3477</w:t>
              <w:br/>
              <w:t>+0.5%</w:t>
            </w:r>
          </w:p>
        </w:tc>
        <w:tc>
          <w:tcPr>
            <w:tcW w:w="1970" w:type="dxa"/>
          </w:tcPr>
          <w:p>
            <w:r>
              <w:t>运营商业务收入 847.25亿元 +0.7%</w:t>
            </w:r>
          </w:p>
        </w:tc>
      </w:tr>
      <w:tr w:rsidR="00BA3003" w14:paraId="4BC2B377" w14:textId="77777777" w:rsidTr="00BA3003">
        <w:trPr>
          <w:trHeight w:val="912"/>
          <w:jc w:val="center"/>
        </w:trPr>
        <w:tc>
          <w:tcPr>
            <w:tcW w:w="2701" w:type="dxa"/>
          </w:tcPr>
          <w:p>
            <w:r>
              <w:t>EBITDA(亿元)</w:t>
            </w:r>
          </w:p>
        </w:tc>
        <w:tc>
          <w:tcPr>
            <w:tcW w:w="1382" w:type="dxa"/>
          </w:tcPr>
          <w:p>
            <w:r>
              <w:t>3389</w:t>
              <w:br/>
              <w:t>+1.6%</w:t>
            </w:r>
          </w:p>
        </w:tc>
        <w:tc>
          <w:tcPr>
            <w:tcW w:w="1382" w:type="dxa"/>
          </w:tcPr>
          <w:p>
            <w:r>
              <w:t>1439</w:t>
              <w:br/>
              <w:t>+2.1%</w:t>
            </w:r>
          </w:p>
        </w:tc>
        <w:tc>
          <w:tcPr>
            <w:tcW w:w="1383" w:type="dxa"/>
          </w:tcPr>
          <w:p>
            <w:r>
              <w:t>994</w:t>
              <w:br/>
              <w:t>+0%</w:t>
            </w:r>
          </w:p>
        </w:tc>
        <w:tc>
          <w:tcPr>
            <w:tcW w:w="1970" w:type="dxa"/>
          </w:tcPr>
          <w:p>
            <w:r>
              <w:t>658.14</w:t>
              <w:br/>
              <w:t>-1.1%</w:t>
            </w:r>
          </w:p>
        </w:tc>
      </w:tr>
      <w:tr w:rsidR="00BA3003" w14:paraId="7045117A" w14:textId="77777777" w:rsidTr="00BA3003">
        <w:trPr>
          <w:trHeight w:val="1089"/>
          <w:jc w:val="center"/>
        </w:trPr>
        <w:tc>
          <w:tcPr>
            <w:tcW w:w="2701" w:type="dxa"/>
          </w:tcPr>
          <w:p>
            <w:r>
              <w:t>归母净利润（亿元）</w:t>
            </w:r>
          </w:p>
        </w:tc>
        <w:tc>
          <w:tcPr>
            <w:tcW w:w="1382" w:type="dxa"/>
          </w:tcPr>
          <w:p>
            <w:r>
              <w:t>1371</w:t>
              <w:br/>
              <w:t>-0.9%</w:t>
            </w:r>
          </w:p>
        </w:tc>
        <w:tc>
          <w:tcPr>
            <w:tcW w:w="1382" w:type="dxa"/>
          </w:tcPr>
          <w:p>
            <w:r>
              <w:t>332</w:t>
              <w:br/>
              <w:t>+0.5%</w:t>
            </w:r>
          </w:p>
        </w:tc>
        <w:tc>
          <w:tcPr>
            <w:tcW w:w="1383" w:type="dxa"/>
          </w:tcPr>
          <w:p>
            <w:r>
              <w:t>91</w:t>
              <w:br/>
              <w:t>+1.1%</w:t>
            </w:r>
          </w:p>
        </w:tc>
        <w:tc>
          <w:tcPr>
            <w:tcW w:w="1970" w:type="dxa"/>
          </w:tcPr>
          <w:p>
            <w:r>
              <w:t>116</w:t>
              <w:br/>
              <w:t>+8.4%</w:t>
            </w:r>
          </w:p>
        </w:tc>
      </w:tr>
      <w:tr w:rsidR="00BA3003" w14:paraId="788B3B0A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净利率</w:t>
            </w:r>
          </w:p>
        </w:tc>
        <w:tc>
          <w:tcPr>
            <w:tcW w:w="1382" w:type="dxa"/>
          </w:tcPr>
          <w:p>
            <w:r>
              <w:t>13.1%</w:t>
            </w:r>
          </w:p>
        </w:tc>
        <w:tc>
          <w:tcPr>
            <w:tcW w:w="1382" w:type="dxa"/>
          </w:tcPr>
          <w:p>
            <w:r>
              <w:t>6.3%</w:t>
            </w:r>
          </w:p>
        </w:tc>
        <w:tc>
          <w:tcPr>
            <w:tcW w:w="1383" w:type="dxa"/>
          </w:tcPr>
          <w:p>
            <w:r>
              <w:t>2.3%</w:t>
            </w:r>
          </w:p>
        </w:tc>
        <w:tc>
          <w:tcPr>
            <w:tcW w:w="1970" w:type="dxa"/>
          </w:tcPr>
          <w:p>
            <w:r>
              <w:t>11.6%</w:t>
            </w:r>
          </w:p>
        </w:tc>
      </w:tr>
      <w:tr w:rsidR="00BA3003" w14:paraId="10705560" w14:textId="77777777" w:rsidTr="00BA3003">
        <w:trPr>
          <w:trHeight w:val="601"/>
          <w:jc w:val="center"/>
        </w:trPr>
        <w:tc>
          <w:tcPr>
            <w:tcW w:w="2701" w:type="dxa"/>
          </w:tcPr>
          <w:p>
            <w:r>
              <w:t>资本开支（亿元）</w:t>
            </w:r>
          </w:p>
        </w:tc>
        <w:tc>
          <w:tcPr>
            <w:tcW w:w="1382" w:type="dxa"/>
          </w:tcPr>
          <w:p>
            <w:r>
              <w:t>1509</w:t>
              <w:br/>
              <w:t>-8.0%</w:t>
            </w:r>
          </w:p>
        </w:tc>
        <w:tc>
          <w:tcPr>
            <w:tcW w:w="1382" w:type="dxa"/>
          </w:tcPr>
          <w:p>
            <w:r>
              <w:t>804</w:t>
              <w:br/>
              <w:t>-14.0%</w:t>
            </w:r>
          </w:p>
        </w:tc>
        <w:tc>
          <w:tcPr>
            <w:tcW w:w="1383" w:type="dxa"/>
          </w:tcPr>
          <w:p>
            <w:r>
              <w:t>542</w:t>
              <w:br/>
              <w:t>-11.7%</w:t>
            </w:r>
          </w:p>
        </w:tc>
        <w:tc>
          <w:tcPr>
            <w:tcW w:w="1970" w:type="dxa"/>
          </w:tcPr>
          <w:p>
            <w:r>
              <w:t>295</w:t>
              <w:br/>
              <w:t>-7.7%</w:t>
            </w:r>
          </w:p>
        </w:tc>
      </w:tr>
      <w:tr w:rsidR="00BA3003" w14:paraId="6F9B501E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资本开支2026年计划（亿元）</w:t>
            </w:r>
          </w:p>
        </w:tc>
        <w:tc>
          <w:tcPr>
            <w:tcW w:w="1382" w:type="dxa"/>
          </w:tcPr>
          <w:p>
            <w:r>
              <w:t>1366</w:t>
            </w:r>
          </w:p>
        </w:tc>
        <w:tc>
          <w:tcPr>
            <w:tcW w:w="1382" w:type="dxa"/>
          </w:tcPr>
          <w:p>
            <w:r>
              <w:t>730</w:t>
            </w:r>
          </w:p>
        </w:tc>
        <w:tc>
          <w:tcPr>
            <w:tcW w:w="1383" w:type="dxa"/>
          </w:tcPr>
          <w:p>
            <w:r>
              <w:t>500</w:t>
            </w:r>
          </w:p>
        </w:tc>
        <w:tc>
          <w:tcPr>
            <w:tcW w:w="1970" w:type="dxa"/>
          </w:tcPr>
          <w:p>
            <w:r>
              <w:t>未披露</w:t>
            </w:r>
          </w:p>
        </w:tc>
      </w:tr>
      <w:tr w:rsidR="00BA3003" w14:paraId="433CAB3D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移动用户数（亿户）</w:t>
            </w:r>
          </w:p>
        </w:tc>
        <w:tc>
          <w:tcPr>
            <w:tcW w:w="1382" w:type="dxa"/>
          </w:tcPr>
          <w:p>
            <w:r>
              <w:t>10.05</w:t>
            </w:r>
          </w:p>
        </w:tc>
        <w:tc>
          <w:tcPr>
            <w:tcW w:w="1382" w:type="dxa"/>
          </w:tcPr>
          <w:p>
            <w:r>
              <w:t>4.39</w:t>
            </w:r>
          </w:p>
        </w:tc>
        <w:tc>
          <w:tcPr>
            <w:tcW w:w="1383" w:type="dxa"/>
          </w:tcPr>
          <w:p>
            <w:r>
              <w:t>3.57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  <w:tr w:rsidR="00BA3003" w14:paraId="3C2B5CD4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5G网络用户数（亿户）</w:t>
            </w:r>
          </w:p>
        </w:tc>
        <w:tc>
          <w:tcPr>
            <w:tcW w:w="1382" w:type="dxa"/>
          </w:tcPr>
          <w:p>
            <w:r>
              <w:t>6.42</w:t>
            </w:r>
          </w:p>
        </w:tc>
        <w:tc>
          <w:tcPr>
            <w:tcW w:w="1382" w:type="dxa"/>
          </w:tcPr>
          <w:p>
            <w:r>
              <w:t>3.02</w:t>
            </w:r>
          </w:p>
        </w:tc>
        <w:tc>
          <w:tcPr>
            <w:tcW w:w="1383" w:type="dxa"/>
          </w:tcPr>
          <w:p>
            <w:r>
              <w:t>2.32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  <w:tr w:rsidR="00BA3003" w14:paraId="554C3DD1" w14:textId="77777777" w:rsidTr="00BA3003">
        <w:trPr>
          <w:trHeight w:val="50"/>
          <w:jc w:val="center"/>
        </w:trPr>
        <w:tc>
          <w:tcPr>
            <w:tcW w:w="2701" w:type="dxa"/>
          </w:tcPr>
          <w:p>
            <w:r>
              <w:t>5G网络渗透率</w:t>
            </w:r>
          </w:p>
        </w:tc>
        <w:tc>
          <w:tcPr>
            <w:tcW w:w="1382" w:type="dxa"/>
          </w:tcPr>
          <w:p>
            <w:r>
              <w:t>63.9%</w:t>
            </w:r>
          </w:p>
        </w:tc>
        <w:tc>
          <w:tcPr>
            <w:tcW w:w="1382" w:type="dxa"/>
          </w:tcPr>
          <w:p>
            <w:r>
              <w:t>68.8%</w:t>
            </w:r>
          </w:p>
        </w:tc>
        <w:tc>
          <w:tcPr>
            <w:tcW w:w="1383" w:type="dxa"/>
          </w:tcPr>
          <w:p>
            <w:r>
              <w:t>65.0%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</w:tbl>
    <w:p w14:paraId="47F3CC3F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中国移动（2026Q1业绩4月20日；年度会3月26日）关键摘要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全年派息每股5.27港元，同比增加3.5%，全年派息率75%；公司指引2026年派息率稳中有升，继续增强股东回报。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2025年资本开支1509亿元，同比下降8.0%；2026年计划资本开支1366亿元，同比再降9.5%，其中算力网络投资增长62.4%、AI网络投资增长19.8%。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年度说明会提出从传统通信服务向“通信服务、算力服务、AI服务”三大业务协同推进；最新一季度业绩显示营业收入2665亿元、同比增长1.0%，主营业务收入2199亿元、同比下降1.1%，其他业务收入466亿元、同比增长12.7%，转型业务对冲传统业务压力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券商观点：券商观点整体维持正面：花旗维持买入并给出105.1港元目标价；另有机构维持跑赢大市/与大市同步评级，关注高股息与资本开支效率。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最新一季度归母净利润293亿元、同比下降4.2%，市场关注点从年度派息和资本开支效率，延伸到税改/成本压力、主营业务下滑和算力/AI转型兑现节奏。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7C7E878F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722B5EAC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22E239F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5B0198D5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中国电信（2026Q1报告4月23日；年度会3月24日）关键摘要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3D279F1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全年派息每股0.2720元，同比增加4.7%；其中末期股息每股0.0908元，全年现金分红比例为归母净利润的75%。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D279F1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2025年资本开支804亿元；公司继续围绕云网融合、AIDC、算力和AI基础设施投入，同时保持自由现金流改善。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D279F1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年度说明会将战略从“云改数转”升级为“云改数转智惠”，全面拥抱AI；最新一季度报告后，重点继续落在AI、天翼云、AIDC、安全、量子和低空经济等产业数字化能力。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D279F1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券商观点：券商观点偏审慎正面：华泰证券维持买入评级，看好产业数字化业务在AI时代的发展前景，但下调盈利预测和目标价以反映传统业务和增值税调整压力。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D279F1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年度业绩说明会后股价整体维持稳定；一季度报告发布后，市场继续关注AI投入、Token经营、传统业务增长放缓、增值税影响和利润弹性。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3994FCA" w14:textId="77777777" w:rsidR="00394201" w:rsidRDefault="00394201">
      <w:pPr>
        <w:pStyle w:val="af"/>
        <w:numPr>
          <w:ilvl w:val="0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45E42671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中国联通（2026Q1FAQ4月后；年度会3月19日）关键摘要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2643226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全年股息每股0.417元，同比增加3.1%，派息率提升至61.3%；其中末期股息每股0.1329元，已派中期股息每股0.2841元。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643226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2025年资本开支542亿元，资本开支占服务收入比重降至16%；2026年资本开支预计约500亿元，其中算力投资占比超过35%。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643226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年度说明会强调落实“AI+”行动；官网一季度FAQ披露，公司围绕“联接、算力、服务、安全”四大主责主业推进，算力业务收入154亿元、同比增长8.3%，云智产品付费用户超过1.1亿。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643226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券商观点：券商观点分化且偏谨慎：晨星下调中国联通公允价值预测至9.6港元并维持“无护城河”评级，瑞银维持中性评级并关注派息、EBITDA和收入增长低于预期的压力。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643226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最新一季度经营收入1028.24亿元、同比下降0.5%，归母净利润48.85亿元、同比下降17.6%；市场主要担忧核心业务盈利能力、资本回报率、增值税调整和派息增长可持续性。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1D918E5E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0F976EFC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19642B9C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4AD5471D" w14:textId="77777777" w:rsidR="00394201" w:rsidRDefault="00394201">
      <w:pPr>
        <w:pStyle w:val="af"/>
        <w:numPr>
          <w:ilvl w:val="0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vanish/>
          <w:kern w:val="24"/>
          <w:sz w:val="28"/>
          <w:szCs w:val="24"/>
          <w:lang w:eastAsia="zh-CN"/>
        </w:rPr>
      </w:pPr>
    </w:p>
    <w:p w14:paraId="30392638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中国铁塔（2026Q1KPI4月17日；年度会3月18日）关键摘要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1B7BF9C1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派息：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建议派发2025年末期股息每股0.32539元（税前），连同中期股息全年每股0.45789元（税前），全年可分配利润派息比率约77%。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1B7BF9C1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资本开支：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2025年资本开支294.86亿元，同比下降7.7%；自由现金流266.30亿元，同比增加91.03亿元，投资更聚焦站址共享、室分和两翼业务效率提升。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1B7BF9C1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战略升级：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年度说明会继续深化“一体两翼”战略；最新一季度KPI披露后，跟踪重点转向站址/租户规模、共享率、两翼业务延续增长和能源/智联业务质量。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1B7BF9C1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券商观点：券商观点偏中性：市场关注铁塔旧站升级维修开支、运营商资本开支下行对塔类业务的影响，同时认可两翼业务增长和股东回报提升。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1B7BF9C1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市场反应：</w:t>
      </w:r>
      <w:r>
        <w:rPr>
          <w:rFonts w:ascii="FangSong" w:eastAsia="FangSong" w:hAnsi="FangSong" w:cs="Times New Roman" w:hint="eastAsia"/>
          <w:b w:val="0"/>
          <w:bCs/>
          <w:snapToGrid w:val="0"/>
          <w:kern w:val="24"/>
          <w:sz w:val="28"/>
          <w:szCs w:val="24"/>
          <w:lang w:eastAsia="zh-CN"/>
        </w:rPr>
        <w:t>市场反应重点在利润增长和派息提升的防御属性；一季度KPI披露后，继续关注运营商投资周期下行、塔类业务增速、站址共享效率和维护成本变化。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A630C49" w14:textId="29031ACB" w:rsidR="00394201" w:rsidRDefault="00394201" w:rsidP="00BA3003">
      <w:pPr>
        <w:pStyle w:val="af"/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pPr>
      <w:bookmarkStart w:id="3" w:name="_GoBack"/>
      <w:bookmarkEnd w:id="3"/>
    </w:p>
    <w:sectPr w:rsidR="00394201">
      <w:footerReference w:type="default" r:id="rId8"/>
      <w:pgSz w:w="11906" w:h="16838"/>
      <w:pgMar w:top="1440" w:right="1531" w:bottom="144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BCF131" w14:textId="77777777" w:rsidR="002E2042" w:rsidRDefault="002E2042">
      <w:r>
        <w:separator/>
      </w:r>
    </w:p>
  </w:endnote>
  <w:endnote w:type="continuationSeparator" w:id="0">
    <w:p w14:paraId="7DF90BE5" w14:textId="77777777" w:rsidR="002E2042" w:rsidRDefault="002E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汉仪仿宋KW"/>
    <w:panose1 w:val="0201060906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"/>
    </w:sdtPr>
    <w:sdtEndPr/>
    <w:sdtContent>
      <w:p w14:paraId="5ED3F80B" w14:textId="77777777" w:rsidR="00394201" w:rsidRDefault="002E204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9A9DBB3" w14:textId="77777777" w:rsidR="00394201" w:rsidRDefault="003942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4622A9" w14:textId="77777777" w:rsidR="002E2042" w:rsidRDefault="002E2042">
      <w:r>
        <w:separator/>
      </w:r>
    </w:p>
  </w:footnote>
  <w:footnote w:type="continuationSeparator" w:id="0">
    <w:p w14:paraId="61E0F990" w14:textId="77777777" w:rsidR="002E2042" w:rsidRDefault="002E2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70ABD"/>
    <w:multiLevelType w:val="multilevel"/>
    <w:tmpl w:val="04170A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9956D2"/>
    <w:multiLevelType w:val="multilevel"/>
    <w:tmpl w:val="1F9956D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5BF6363"/>
    <w:multiLevelType w:val="multilevel"/>
    <w:tmpl w:val="45BF6363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1EF7C35"/>
    <w:multiLevelType w:val="multilevel"/>
    <w:tmpl w:val="51EF7C3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B940A4D"/>
    <w:multiLevelType w:val="multilevel"/>
    <w:tmpl w:val="5B940A4D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BB12EB"/>
    <w:multiLevelType w:val="multilevel"/>
    <w:tmpl w:val="5DBB12EB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2225702"/>
    <w:multiLevelType w:val="multilevel"/>
    <w:tmpl w:val="72225702"/>
    <w:lvl w:ilvl="0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43A3154"/>
    <w:multiLevelType w:val="multilevel"/>
    <w:tmpl w:val="743A315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5016AF5"/>
    <w:multiLevelType w:val="multilevel"/>
    <w:tmpl w:val="75016AF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7F47FF"/>
    <w:multiLevelType w:val="multilevel"/>
    <w:tmpl w:val="767F47FF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80"/>
  <w:drawingGridHorizontalSpacing w:val="1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700"/>
    <w:rsid w:val="B4FE1CC7"/>
    <w:rsid w:val="D65F0366"/>
    <w:rsid w:val="DFAE3D4A"/>
    <w:rsid w:val="EF15C071"/>
    <w:rsid w:val="F4DF5194"/>
    <w:rsid w:val="F7FF56D3"/>
    <w:rsid w:val="FD77666E"/>
    <w:rsid w:val="FFCD9707"/>
    <w:rsid w:val="000365E5"/>
    <w:rsid w:val="00073E96"/>
    <w:rsid w:val="00074B7E"/>
    <w:rsid w:val="00081006"/>
    <w:rsid w:val="000C30BF"/>
    <w:rsid w:val="000C59F4"/>
    <w:rsid w:val="000F478D"/>
    <w:rsid w:val="001205E7"/>
    <w:rsid w:val="00153A7B"/>
    <w:rsid w:val="001563B9"/>
    <w:rsid w:val="00163934"/>
    <w:rsid w:val="00167CE0"/>
    <w:rsid w:val="0017432B"/>
    <w:rsid w:val="00182295"/>
    <w:rsid w:val="001A283F"/>
    <w:rsid w:val="001F3905"/>
    <w:rsid w:val="00260569"/>
    <w:rsid w:val="00271186"/>
    <w:rsid w:val="002A4456"/>
    <w:rsid w:val="002B09B3"/>
    <w:rsid w:val="002C1109"/>
    <w:rsid w:val="002D5422"/>
    <w:rsid w:val="002E2042"/>
    <w:rsid w:val="00304B2C"/>
    <w:rsid w:val="00313FCA"/>
    <w:rsid w:val="00333892"/>
    <w:rsid w:val="003636E1"/>
    <w:rsid w:val="00363DC9"/>
    <w:rsid w:val="00364278"/>
    <w:rsid w:val="003661ED"/>
    <w:rsid w:val="003800DF"/>
    <w:rsid w:val="0038542A"/>
    <w:rsid w:val="00394201"/>
    <w:rsid w:val="003B11B0"/>
    <w:rsid w:val="003C7B40"/>
    <w:rsid w:val="003D2577"/>
    <w:rsid w:val="00422CDB"/>
    <w:rsid w:val="00475AB2"/>
    <w:rsid w:val="00475E3C"/>
    <w:rsid w:val="00476D76"/>
    <w:rsid w:val="004A6E0C"/>
    <w:rsid w:val="004A7FEC"/>
    <w:rsid w:val="004C22C6"/>
    <w:rsid w:val="004C64DF"/>
    <w:rsid w:val="004D29B3"/>
    <w:rsid w:val="004D6737"/>
    <w:rsid w:val="004E573D"/>
    <w:rsid w:val="004F2838"/>
    <w:rsid w:val="005001D7"/>
    <w:rsid w:val="00500CF0"/>
    <w:rsid w:val="00507881"/>
    <w:rsid w:val="0052232F"/>
    <w:rsid w:val="0053358B"/>
    <w:rsid w:val="00541B4D"/>
    <w:rsid w:val="0055692C"/>
    <w:rsid w:val="005762C6"/>
    <w:rsid w:val="005C7273"/>
    <w:rsid w:val="006101EA"/>
    <w:rsid w:val="0066221C"/>
    <w:rsid w:val="00662DD1"/>
    <w:rsid w:val="00665E6A"/>
    <w:rsid w:val="00673609"/>
    <w:rsid w:val="006B2B3B"/>
    <w:rsid w:val="006C46EA"/>
    <w:rsid w:val="006D3885"/>
    <w:rsid w:val="00767264"/>
    <w:rsid w:val="00773929"/>
    <w:rsid w:val="00777485"/>
    <w:rsid w:val="00782529"/>
    <w:rsid w:val="00790718"/>
    <w:rsid w:val="007A0A74"/>
    <w:rsid w:val="007C3076"/>
    <w:rsid w:val="007D677D"/>
    <w:rsid w:val="00806979"/>
    <w:rsid w:val="008469C0"/>
    <w:rsid w:val="008A7647"/>
    <w:rsid w:val="008C7A6F"/>
    <w:rsid w:val="008D6965"/>
    <w:rsid w:val="008E3E9E"/>
    <w:rsid w:val="008E6C23"/>
    <w:rsid w:val="00905F44"/>
    <w:rsid w:val="00917E57"/>
    <w:rsid w:val="009238D6"/>
    <w:rsid w:val="00927674"/>
    <w:rsid w:val="00947F34"/>
    <w:rsid w:val="00951DE5"/>
    <w:rsid w:val="009A3A9A"/>
    <w:rsid w:val="009A422F"/>
    <w:rsid w:val="009D37EF"/>
    <w:rsid w:val="009E59C3"/>
    <w:rsid w:val="009E68FE"/>
    <w:rsid w:val="00A324D9"/>
    <w:rsid w:val="00A57E2E"/>
    <w:rsid w:val="00A9052A"/>
    <w:rsid w:val="00A91F4E"/>
    <w:rsid w:val="00AA090B"/>
    <w:rsid w:val="00AE0DA7"/>
    <w:rsid w:val="00B14554"/>
    <w:rsid w:val="00B14FFF"/>
    <w:rsid w:val="00B151C1"/>
    <w:rsid w:val="00B46A8E"/>
    <w:rsid w:val="00B6333A"/>
    <w:rsid w:val="00BA3003"/>
    <w:rsid w:val="00BE5500"/>
    <w:rsid w:val="00BE571C"/>
    <w:rsid w:val="00BE57C4"/>
    <w:rsid w:val="00BF0E56"/>
    <w:rsid w:val="00C35B70"/>
    <w:rsid w:val="00C574FC"/>
    <w:rsid w:val="00C63203"/>
    <w:rsid w:val="00C756FB"/>
    <w:rsid w:val="00CA720C"/>
    <w:rsid w:val="00CD0B58"/>
    <w:rsid w:val="00CE1479"/>
    <w:rsid w:val="00D04863"/>
    <w:rsid w:val="00D06E42"/>
    <w:rsid w:val="00D45101"/>
    <w:rsid w:val="00D47336"/>
    <w:rsid w:val="00D560D3"/>
    <w:rsid w:val="00D639E5"/>
    <w:rsid w:val="00D73F96"/>
    <w:rsid w:val="00D764F3"/>
    <w:rsid w:val="00D95100"/>
    <w:rsid w:val="00DD5BC6"/>
    <w:rsid w:val="00E21B7C"/>
    <w:rsid w:val="00E44DFB"/>
    <w:rsid w:val="00E62700"/>
    <w:rsid w:val="00E65610"/>
    <w:rsid w:val="00EB2E6C"/>
    <w:rsid w:val="00EE50A5"/>
    <w:rsid w:val="00F54222"/>
    <w:rsid w:val="00F83FFE"/>
    <w:rsid w:val="00FB0B49"/>
    <w:rsid w:val="00FC7F63"/>
    <w:rsid w:val="00FD1457"/>
    <w:rsid w:val="00FD3DFE"/>
    <w:rsid w:val="33F56AAA"/>
    <w:rsid w:val="57FC06AD"/>
    <w:rsid w:val="5FEB9984"/>
    <w:rsid w:val="7BD55BA6"/>
    <w:rsid w:val="7BE7181E"/>
    <w:rsid w:val="7FFA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CD062"/>
  <w15:docId w15:val="{F2E78B9B-3439-4AD8-BB2A-BFF4B54F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/>
      <w:spacing w:before="180" w:after="180"/>
    </w:pPr>
    <w:rPr>
      <w:kern w:val="0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</w:pPr>
    <w:rPr>
      <w:sz w:val="20"/>
      <w:szCs w:val="20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sz w:val="20"/>
      <w:szCs w:val="20"/>
    </w:rPr>
  </w:style>
  <w:style w:type="character" w:customStyle="1" w:styleId="a8">
    <w:name w:val="页脚 字符"/>
    <w:basedOn w:val="a0"/>
    <w:link w:val="a7"/>
    <w:uiPriority w:val="99"/>
    <w:qFormat/>
    <w:rPr>
      <w:sz w:val="20"/>
      <w:szCs w:val="20"/>
    </w:rPr>
  </w:style>
  <w:style w:type="paragraph" w:styleId="af">
    <w:name w:val="List Paragraph"/>
    <w:basedOn w:val="a"/>
    <w:uiPriority w:val="34"/>
    <w:qFormat/>
    <w:pPr>
      <w:ind w:leftChars="200" w:left="48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2"/>
    </w:rPr>
  </w:style>
  <w:style w:type="character" w:customStyle="1" w:styleId="ac">
    <w:name w:val="脚注文本 字符"/>
    <w:basedOn w:val="a0"/>
    <w:link w:val="ab"/>
    <w:uiPriority w:val="99"/>
    <w:semiHidden/>
    <w:qFormat/>
    <w:rPr>
      <w:sz w:val="20"/>
      <w:szCs w:val="20"/>
    </w:rPr>
  </w:style>
  <w:style w:type="character" w:customStyle="1" w:styleId="a4">
    <w:name w:val="正文文本 字符"/>
    <w:basedOn w:val="a0"/>
    <w:link w:val="a3"/>
    <w:qFormat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849D239A-E944-4AC6-B251-CF911CC9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Christy WONG Suet Mui</dc:creator>
  <cp:lastModifiedBy>Christy WONG Suet Mui</cp:lastModifiedBy>
  <cp:revision>2</cp:revision>
  <cp:lastPrinted>2026-03-28T18:07:00Z</cp:lastPrinted>
  <dcterms:created xsi:type="dcterms:W3CDTF">2026-04-01T11:03:00Z</dcterms:created>
  <dcterms:modified xsi:type="dcterms:W3CDTF">2026-03-31T07:30:00Z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1FD0ADA8E92B34B33273CB696CE03839_43</vt:lpwstr>
  </property>
</Properties>
</file>