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F97A724" w14:textId="77777777" w:rsidR="00394201" w:rsidRDefault="002E2042">
      <w:pPr>
        <w:snapToGrid w:val="0"/>
        <w:spacing w:beforeLines="50" w:before="180" w:line="360" w:lineRule="auto"/>
        <w:ind w:firstLineChars="200" w:firstLine="803"/>
        <w:jc w:val="center"/>
        <w:outlineLvl w:val="3"/>
        <w:rPr>
          <w:rFonts w:ascii="FangSong" w:eastAsia="FangSong" w:hAnsi="FangSong" w:cs="Times New Roman"/>
          <w:b/>
          <w:bCs/>
          <w:snapToGrid w:val="0"/>
          <w:kern w:val="24"/>
          <w:sz w:val="40"/>
          <w:szCs w:val="36"/>
          <w:lang w:eastAsia="zh-CN"/>
        </w:rPr>
      </w:pPr>
      <w:bookmarkStart w:id="0" w:name="OLE_LINK2"/>
      <w:bookmarkStart w:id="1" w:name="OLE_LINK1"/>
      <w:r>
        <w:rPr>
          <w:rFonts w:ascii="FangSong" w:eastAsia="FangSong" w:hAnsi="FangSong" w:cs="Times New Roman" w:hint="eastAsia"/>
          <w:b/>
          <w:bCs/>
          <w:snapToGrid w:val="0"/>
          <w:kern w:val="24"/>
          <w:sz w:val="40"/>
          <w:szCs w:val="36"/>
          <w:lang w:eastAsia="zh-CN"/>
        </w:rPr>
        <w:t>内地运营商及香港主要竞对关键业绩摘要</w:t>
      </w:r>
      <w:r>
        <w:rPr>
          <w:rFonts w:ascii="FangSong" w:eastAsia="FangSong" w:hAnsi="FangSong" w:cs="Times New Roman" w:hint="eastAsia"/>
          <w:b/>
          <w:bCs/>
          <w:snapToGrid w:val="0"/>
          <w:kern w:val="24"/>
          <w:sz w:val="40"/>
          <w:szCs w:val="36"/>
          <w:lang w:eastAsia="zh-CN"/>
        </w:rPr>
      </w:r>
      <w:r>
        <w:rPr>
          <w:rFonts w:ascii="FangSong" w:eastAsia="FangSong" w:hAnsi="FangSong" w:cs="Times New Roman"/>
          <w:b/>
          <w:bCs/>
          <w:snapToGrid w:val="0"/>
          <w:kern w:val="24"/>
          <w:sz w:val="40"/>
          <w:szCs w:val="36"/>
          <w:lang w:eastAsia="zh-CN"/>
        </w:rPr>
      </w:r>
      <w:r>
        <w:rPr>
          <w:rFonts w:ascii="FangSong" w:eastAsia="FangSong" w:hAnsi="FangSong" w:cs="Times New Roman" w:hint="eastAsia"/>
          <w:b/>
          <w:bCs/>
          <w:snapToGrid w:val="0"/>
          <w:kern w:val="24"/>
          <w:sz w:val="40"/>
          <w:szCs w:val="36"/>
          <w:lang w:eastAsia="zh-CN"/>
        </w:rPr>
      </w:r>
    </w:p>
    <w:bookmarkEnd w:id="0"/>
    <w:bookmarkEnd w:id="1"/>
    <w:p w14:paraId="499EED94" w14:textId="77777777" w:rsidR="00394201" w:rsidRDefault="002E2042">
      <w:pPr>
        <w:pStyle w:val="a3"/>
        <w:spacing w:before="0" w:after="0" w:line="312" w:lineRule="auto"/>
        <w:jc w:val="center"/>
        <w:rPr>
          <w:rFonts w:ascii="FangSong" w:eastAsia="FangSong" w:hAnsi="FangSong"/>
          <w:sz w:val="28"/>
          <w:lang w:eastAsia="zh-CN"/>
        </w:rPr>
      </w:pPr>
      <w:r>
        <w:rPr>
          <w:rFonts w:ascii="FangSong" w:eastAsia="FangSong" w:hAnsi="FangSong" w:hint="eastAsia"/>
          <w:sz w:val="28"/>
          <w:lang w:eastAsia="zh-CN"/>
        </w:rPr>
        <w:t>战略部（智库）对标分析简报</w:t>
      </w:r>
      <w:proofErr w:type="gramStart"/>
      <w:r>
        <w:rPr>
          <w:rFonts w:ascii="FangSong" w:eastAsia="FangSong" w:hAnsi="FangSong" w:hint="eastAsia"/>
          <w:sz w:val="28"/>
          <w:lang w:eastAsia="zh-CN"/>
        </w:rPr>
      </w:r>
      <w:proofErr w:type="gramEnd"/>
      <w:r>
        <w:rPr>
          <w:rFonts w:ascii="FangSong" w:eastAsia="FangSong" w:hAnsi="FangSong" w:hint="eastAsia"/>
          <w:sz w:val="28"/>
          <w:lang w:eastAsia="zh-CN"/>
        </w:rPr>
      </w:r>
    </w:p>
    <w:p w14:paraId="5066AAE1" w14:textId="77777777" w:rsidR="00394201" w:rsidRDefault="002E2042">
      <w:pPr>
        <w:snapToGrid w:val="0"/>
        <w:spacing w:before="60" w:line="312" w:lineRule="auto"/>
        <w:ind w:firstLineChars="200" w:firstLine="560"/>
        <w:outlineLvl w:val="3"/>
        <w:rPr>
          <w:rFonts w:ascii="FangSong" w:eastAsia="FangSong" w:hAnsi="FangSong" w:cs="Times New Roman"/>
          <w:bCs/>
          <w:snapToGrid w:val="0"/>
          <w:kern w:val="24"/>
          <w:sz w:val="28"/>
          <w:szCs w:val="24"/>
          <w:lang w:eastAsia="zh-CN"/>
        </w:rPr>
      </w:pPr>
      <w:r>
        <w:rPr>
          <w:rFonts w:ascii="FangSong" w:eastAsia="FangSong" w:hAnsi="FangSong" w:cs="Times New Roman" w:hint="eastAsia"/>
          <w:bCs/>
          <w:snapToGrid w:val="0"/>
          <w:kern w:val="24"/>
          <w:sz w:val="28"/>
          <w:szCs w:val="24"/>
          <w:lang w:eastAsia="zh-CN"/>
        </w:rPr>
        <w:t>截至2026年6月1日，本摘要同步核对内地运营商及香港主要竞对最新可获取的年度或中期业绩、后续经营披露、业绩公告及资本市场观点。上市主体与品牌口径分别列示；未公开或不适用的项目明确标注，供内部决策参考。</w:t>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proofErr w:type="gramStart"/>
      <w:r>
        <w:rPr>
          <w:rFonts w:ascii="FangSong" w:eastAsia="FangSong" w:hAnsi="FangSong" w:cs="Times New Roman" w:hint="eastAsia"/>
          <w:bCs/>
          <w:snapToGrid w:val="0"/>
          <w:kern w:val="24"/>
          <w:sz w:val="28"/>
          <w:szCs w:val="24"/>
          <w:lang w:eastAsia="zh-CN"/>
        </w:rPr>
      </w:r>
      <w:proofErr w:type="gramEnd"/>
      <w:r>
        <w:rPr>
          <w:rFonts w:ascii="FangSong" w:eastAsia="FangSong" w:hAnsi="FangSong" w:cs="Times New Roman" w:hint="eastAsia"/>
          <w:bCs/>
          <w:snapToGrid w:val="0"/>
          <w:kern w:val="24"/>
          <w:sz w:val="28"/>
          <w:szCs w:val="24"/>
          <w:lang w:eastAsia="zh-CN"/>
        </w:rPr>
      </w:r>
      <w:bookmarkStart w:id="2" w:name="_Hlk225772476"/>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bookmarkEnd w:id="2"/>
      <w:r>
        <w:rPr>
          <w:rFonts w:ascii="FangSong" w:eastAsia="FangSong" w:hAnsi="FangSong" w:cs="Times New Roman" w:hint="eastAsia"/>
          <w:bCs/>
          <w:snapToGrid w:val="0"/>
          <w:kern w:val="24"/>
          <w:sz w:val="28"/>
          <w:szCs w:val="24"/>
          <w:lang w:eastAsia="zh-CN"/>
        </w:rPr>
      </w:r>
    </w:p>
    <w:p w14:paraId="3FB884F8" w14:textId="77777777" w:rsidR="00394201" w:rsidRDefault="002E2042">
      <w:pPr>
        <w:spacing w:line="312" w:lineRule="auto"/>
        <w:jc w:val="center"/>
        <w:rPr>
          <w:rFonts w:ascii="FangSong" w:eastAsia="FangSong" w:hAnsi="FangSong"/>
          <w:b/>
          <w:sz w:val="32"/>
          <w:lang w:eastAsia="zh-CN"/>
        </w:rPr>
      </w:pPr>
      <w:r>
        <w:rPr>
          <w:rFonts w:ascii="FangSong" w:eastAsia="FangSong" w:hAnsi="FangSong" w:hint="eastAsia"/>
          <w:b/>
          <w:sz w:val="32"/>
          <w:lang w:eastAsia="zh-CN"/>
        </w:rPr>
        <w:t>表：内地运营商及香港主要竞对最新关键业绩数据汇总</w:t>
      </w:r>
      <w:r>
        <w:rPr>
          <w:rFonts w:ascii="FangSong" w:eastAsia="FangSong" w:hAnsi="FangSong"/>
          <w:b/>
          <w:sz w:val="32"/>
          <w:lang w:eastAsia="zh-CN"/>
        </w:rPr>
      </w:r>
      <w:r>
        <w:rPr>
          <w:rFonts w:ascii="FangSong" w:eastAsia="FangSong" w:hAnsi="FangSong" w:hint="eastAsia"/>
          <w:b/>
          <w:sz w:val="32"/>
          <w:lang w:eastAsia="zh-CN"/>
        </w:rPr>
      </w:r>
    </w:p>
    <w:tbl>
      <w:tblPr>
        <w:tblStyle w:val="ad"/>
        <w:tblW w:w="8818" w:type="dxa"/>
        <w:jc w:val="center"/>
        <w:tblLook w:val="04A0" w:firstRow="1" w:lastRow="0" w:firstColumn="1" w:lastColumn="0" w:noHBand="0" w:noVBand="1"/>
      </w:tblPr>
      <w:tblGrid>
        <w:gridCol w:w="2701"/>
        <w:gridCol w:w="1382"/>
        <w:gridCol w:w="1382"/>
        <w:gridCol w:w="1383"/>
        <w:gridCol w:w="1970"/>
        <w:gridCol w:w="1970"/>
      </w:tblGrid>
      <w:tr w:rsidR="00BA3003" w14:paraId="58BB608A" w14:textId="77777777" w:rsidTr="00BA3003">
        <w:trPr>
          <w:trHeight w:val="569"/>
          <w:jc w:val="center"/>
        </w:trPr>
        <w:tc>
          <w:tcPr>
            <w:tcW w:w="2701" w:type="dxa"/>
          </w:tcPr>
          <w:p>
            <w:r>
              <w:t>主体</w:t>
            </w:r>
          </w:p>
        </w:tc>
        <w:tc>
          <w:tcPr>
            <w:tcW w:w="1382" w:type="dxa"/>
          </w:tcPr>
          <w:p>
            <w:r>
              <w:t>最新披露</w:t>
            </w:r>
          </w:p>
        </w:tc>
        <w:tc>
          <w:tcPr>
            <w:tcW w:w="1382" w:type="dxa"/>
          </w:tcPr>
          <w:p>
            <w:r>
              <w:t>收益</w:t>
            </w:r>
          </w:p>
        </w:tc>
        <w:tc>
          <w:tcPr>
            <w:tcW w:w="1383" w:type="dxa"/>
          </w:tcPr>
          <w:p>
            <w:r>
              <w:t>EBITDA / 利润</w:t>
            </w:r>
          </w:p>
        </w:tc>
        <w:tc>
          <w:tcPr>
            <w:tcW w:w="1970" w:type="dxa"/>
          </w:tcPr>
          <w:p>
            <w:r>
              <w:t>资本开支</w:t>
            </w:r>
          </w:p>
        </w:tc>
        <w:tc>
          <w:tcPr>
            <w:tcW w:type="dxa" w:w="1970"/>
          </w:tcPr>
          <w:p>
            <w:r>
              <w:t>派息</w:t>
            </w:r>
          </w:p>
        </w:tc>
      </w:tr>
      <w:tr w:rsidR="00BA3003" w14:paraId="724C57C1" w14:textId="77777777" w:rsidTr="00BA3003">
        <w:trPr>
          <w:trHeight w:val="977"/>
          <w:jc w:val="center"/>
        </w:trPr>
        <w:tc>
          <w:tcPr>
            <w:tcW w:w="2701" w:type="dxa"/>
          </w:tcPr>
          <w:p>
            <w:r>
              <w:t>中国移动</w:t>
            </w:r>
          </w:p>
        </w:tc>
        <w:tc>
          <w:tcPr>
            <w:tcW w:w="1382" w:type="dxa"/>
          </w:tcPr>
          <w:p>
            <w:r>
              <w:t>2026Q1</w:t>
            </w:r>
          </w:p>
        </w:tc>
        <w:tc>
          <w:tcPr>
            <w:tcW w:w="1382" w:type="dxa"/>
          </w:tcPr>
          <w:p>
            <w:r>
              <w:t>2665亿元</w:t>
            </w:r>
          </w:p>
        </w:tc>
        <w:tc>
          <w:tcPr>
            <w:tcW w:w="1383" w:type="dxa"/>
          </w:tcPr>
          <w:p>
            <w:r>
              <w:t>归母净利润293亿元</w:t>
            </w:r>
          </w:p>
        </w:tc>
        <w:tc>
          <w:tcPr>
            <w:tcW w:w="1970" w:type="dxa"/>
          </w:tcPr>
          <w:p>
            <w:r>
              <w:t>2025年1509亿元；2026年计划1366亿元</w:t>
            </w:r>
          </w:p>
        </w:tc>
        <w:tc>
          <w:tcPr>
            <w:tcW w:type="dxa" w:w="1970"/>
          </w:tcPr>
          <w:p>
            <w:r>
              <w:t>全年每股5.27港元</w:t>
            </w:r>
          </w:p>
        </w:tc>
      </w:tr>
      <w:tr w:rsidR="00BA3003" w14:paraId="21098F54" w14:textId="77777777" w:rsidTr="00BA3003">
        <w:trPr>
          <w:trHeight w:val="1215"/>
          <w:jc w:val="center"/>
        </w:trPr>
        <w:tc>
          <w:tcPr>
            <w:tcW w:w="2701" w:type="dxa"/>
          </w:tcPr>
          <w:p>
            <w:r>
              <w:t>中国电信</w:t>
            </w:r>
          </w:p>
        </w:tc>
        <w:tc>
          <w:tcPr>
            <w:tcW w:w="1382" w:type="dxa"/>
          </w:tcPr>
          <w:p>
            <w:r>
              <w:t>2026Q1</w:t>
            </w:r>
          </w:p>
        </w:tc>
        <w:tc>
          <w:tcPr>
            <w:tcW w:w="1382" w:type="dxa"/>
          </w:tcPr>
          <w:p>
            <w:r>
              <w:t>2025年5296亿元</w:t>
            </w:r>
          </w:p>
        </w:tc>
        <w:tc>
          <w:tcPr>
            <w:tcW w:w="1383" w:type="dxa"/>
          </w:tcPr>
          <w:p>
            <w:r>
              <w:t>2025年EBITDA 1439亿元</w:t>
            </w:r>
          </w:p>
        </w:tc>
        <w:tc>
          <w:tcPr>
            <w:tcW w:w="1970" w:type="dxa"/>
          </w:tcPr>
          <w:p>
            <w:r>
              <w:t>2025年804亿元</w:t>
            </w:r>
          </w:p>
        </w:tc>
        <w:tc>
          <w:tcPr>
            <w:tcW w:type="dxa" w:w="1970"/>
          </w:tcPr>
          <w:p>
            <w:r>
              <w:t>全年每股0.2720元</w:t>
            </w:r>
          </w:p>
        </w:tc>
      </w:tr>
      <w:tr w:rsidR="00BA3003" w14:paraId="4BC2B377" w14:textId="77777777" w:rsidTr="00BA3003">
        <w:trPr>
          <w:trHeight w:val="912"/>
          <w:jc w:val="center"/>
        </w:trPr>
        <w:tc>
          <w:tcPr>
            <w:tcW w:w="2701" w:type="dxa"/>
          </w:tcPr>
          <w:p>
            <w:r>
              <w:t>中国联通</w:t>
            </w:r>
          </w:p>
        </w:tc>
        <w:tc>
          <w:tcPr>
            <w:tcW w:w="1382" w:type="dxa"/>
          </w:tcPr>
          <w:p>
            <w:r>
              <w:t>2026Q1</w:t>
            </w:r>
          </w:p>
        </w:tc>
        <w:tc>
          <w:tcPr>
            <w:tcW w:w="1382" w:type="dxa"/>
          </w:tcPr>
          <w:p>
            <w:r>
              <w:t>2026Q1经营收入1028.24亿元</w:t>
            </w:r>
          </w:p>
        </w:tc>
        <w:tc>
          <w:tcPr>
            <w:tcW w:w="1383" w:type="dxa"/>
          </w:tcPr>
          <w:p>
            <w:r>
              <w:t>2026Q1归母净利润48.85亿元</w:t>
            </w:r>
          </w:p>
        </w:tc>
        <w:tc>
          <w:tcPr>
            <w:tcW w:w="1970" w:type="dxa"/>
          </w:tcPr>
          <w:p>
            <w:r>
              <w:t>2025年542亿元；2026年计划约500亿元</w:t>
            </w:r>
          </w:p>
        </w:tc>
        <w:tc>
          <w:tcPr>
            <w:tcW w:type="dxa" w:w="1970"/>
          </w:tcPr>
          <w:p>
            <w:r>
              <w:t>全年每股0.417元</w:t>
            </w:r>
          </w:p>
        </w:tc>
      </w:tr>
      <w:tr w:rsidR="00BA3003" w14:paraId="7045117A" w14:textId="77777777" w:rsidTr="00BA3003">
        <w:trPr>
          <w:trHeight w:val="1089"/>
          <w:jc w:val="center"/>
        </w:trPr>
        <w:tc>
          <w:tcPr>
            <w:tcW w:w="2701" w:type="dxa"/>
          </w:tcPr>
          <w:p>
            <w:r>
              <w:t>中国铁塔</w:t>
            </w:r>
          </w:p>
        </w:tc>
        <w:tc>
          <w:tcPr>
            <w:tcW w:w="1382" w:type="dxa"/>
          </w:tcPr>
          <w:p>
            <w:r>
              <w:t>2026Q1 KPI</w:t>
            </w:r>
          </w:p>
        </w:tc>
        <w:tc>
          <w:tcPr>
            <w:tcW w:w="1382" w:type="dxa"/>
          </w:tcPr>
          <w:p>
            <w:r>
              <w:t>2025年1004.11亿元</w:t>
            </w:r>
          </w:p>
        </w:tc>
        <w:tc>
          <w:tcPr>
            <w:tcW w:w="1383" w:type="dxa"/>
          </w:tcPr>
          <w:p>
            <w:r>
              <w:t>2025年归母净利润116亿元</w:t>
            </w:r>
          </w:p>
        </w:tc>
        <w:tc>
          <w:tcPr>
            <w:tcW w:w="1970" w:type="dxa"/>
          </w:tcPr>
          <w:p>
            <w:r>
              <w:t>2025年294.86亿元</w:t>
            </w:r>
          </w:p>
        </w:tc>
        <w:tc>
          <w:tcPr>
            <w:tcW w:type="dxa" w:w="1970"/>
          </w:tcPr>
          <w:p>
            <w:r>
              <w:t>全年每股0.45789元</w:t>
            </w:r>
          </w:p>
        </w:tc>
      </w:tr>
      <w:tr w:rsidR="00BA3003" w14:paraId="788B3B0A" w14:textId="77777777" w:rsidTr="00BA3003">
        <w:trPr>
          <w:trHeight w:val="569"/>
          <w:jc w:val="center"/>
        </w:trPr>
        <w:tc>
          <w:tcPr>
            <w:tcW w:w="2701" w:type="dxa"/>
          </w:tcPr>
          <w:p>
            <w:r>
              <w:t>HKT / csl / 1O1O</w:t>
            </w:r>
          </w:p>
        </w:tc>
        <w:tc>
          <w:tcPr>
            <w:tcW w:w="1382" w:type="dxa"/>
          </w:tcPr>
          <w:p>
            <w:r>
              <w:t>2025年度</w:t>
            </w:r>
          </w:p>
        </w:tc>
        <w:tc>
          <w:tcPr>
            <w:tcW w:w="1382" w:type="dxa"/>
          </w:tcPr>
          <w:p>
            <w:r>
              <w:t>365.53亿港元</w:t>
            </w:r>
          </w:p>
        </w:tc>
        <w:tc>
          <w:tcPr>
            <w:tcW w:w="1383" w:type="dxa"/>
          </w:tcPr>
          <w:p>
            <w:r>
              <w:t>EBITDA 142.34亿港元</w:t>
            </w:r>
          </w:p>
        </w:tc>
        <w:tc>
          <w:tcPr>
            <w:tcW w:w="1970" w:type="dxa"/>
          </w:tcPr>
          <w:p>
            <w:r>
              <w:t>2.70亿美元</w:t>
            </w:r>
          </w:p>
        </w:tc>
        <w:tc>
          <w:tcPr>
            <w:tcW w:type="dxa" w:w="1970"/>
          </w:tcPr>
          <w:p>
            <w:r>
              <w:t>全年分派0.8177港元</w:t>
            </w:r>
          </w:p>
        </w:tc>
      </w:tr>
      <w:tr w:rsidR="00BA3003" w14:paraId="10705560" w14:textId="77777777" w:rsidTr="00BA3003">
        <w:trPr>
          <w:trHeight w:val="601"/>
          <w:jc w:val="center"/>
        </w:trPr>
        <w:tc>
          <w:tcPr>
            <w:tcW w:w="2701" w:type="dxa"/>
          </w:tcPr>
          <w:p>
            <w:r>
              <w:t>3HK / Hutchison</w:t>
            </w:r>
          </w:p>
        </w:tc>
        <w:tc>
          <w:tcPr>
            <w:tcW w:w="1382" w:type="dxa"/>
          </w:tcPr>
          <w:p>
            <w:r>
              <w:t>2025年度</w:t>
            </w:r>
          </w:p>
        </w:tc>
        <w:tc>
          <w:tcPr>
            <w:tcW w:w="1382" w:type="dxa"/>
          </w:tcPr>
          <w:p>
            <w:r>
              <w:t>香港业务总收益54.48亿港元</w:t>
            </w:r>
          </w:p>
        </w:tc>
        <w:tc>
          <w:tcPr>
            <w:tcW w:w="1383" w:type="dxa"/>
          </w:tcPr>
          <w:p>
            <w:r>
              <w:t>香港业务EBIT 0.18亿港元</w:t>
            </w:r>
          </w:p>
        </w:tc>
        <w:tc>
          <w:tcPr>
            <w:tcW w:w="1970" w:type="dxa"/>
          </w:tcPr>
          <w:p>
            <w:r>
              <w:t>4.33亿港元</w:t>
            </w:r>
          </w:p>
        </w:tc>
        <w:tc>
          <w:tcPr>
            <w:tcW w:type="dxa" w:w="1970"/>
          </w:tcPr>
          <w:p>
            <w:r>
              <w:t>全年股息7.49港仙</w:t>
            </w:r>
          </w:p>
        </w:tc>
      </w:tr>
      <w:tr w:rsidR="00BA3003" w14:paraId="6F9B501E" w14:textId="77777777" w:rsidTr="00BA3003">
        <w:trPr>
          <w:trHeight w:val="569"/>
          <w:jc w:val="center"/>
        </w:trPr>
        <w:tc>
          <w:tcPr>
            <w:tcW w:w="2701" w:type="dxa"/>
          </w:tcPr>
          <w:p>
            <w:r>
              <w:t>SmarTone</w:t>
            </w:r>
          </w:p>
        </w:tc>
        <w:tc>
          <w:tcPr>
            <w:tcW w:w="1382" w:type="dxa"/>
          </w:tcPr>
          <w:p>
            <w:r>
              <w:t>2025/26中期</w:t>
            </w:r>
          </w:p>
        </w:tc>
        <w:tc>
          <w:tcPr>
            <w:tcW w:w="1382" w:type="dxa"/>
          </w:tcPr>
          <w:p>
            <w:r>
              <w:t>35.61亿港元</w:t>
            </w:r>
          </w:p>
        </w:tc>
        <w:tc>
          <w:tcPr>
            <w:tcW w:w="1383" w:type="dxa"/>
          </w:tcPr>
          <w:p>
            <w:r>
              <w:t>股东应占溢利2.78亿港元</w:t>
            </w:r>
          </w:p>
        </w:tc>
        <w:tc>
          <w:tcPr>
            <w:tcW w:w="1970" w:type="dxa"/>
          </w:tcPr>
          <w:p>
            <w:r>
              <w:t>1.79亿港元</w:t>
            </w:r>
          </w:p>
        </w:tc>
        <w:tc>
          <w:tcPr>
            <w:tcW w:type="dxa" w:w="1970"/>
          </w:tcPr>
          <w:p>
            <w:r>
              <w:t>中期股息14.5港仙</w:t>
            </w:r>
          </w:p>
        </w:tc>
      </w:tr>
      <w:tr w:rsidR="00BA3003" w14:paraId="433CAB3D" w14:textId="77777777" w:rsidTr="00BA3003">
        <w:trPr>
          <w:trHeight w:val="569"/>
          <w:jc w:val="center"/>
        </w:trPr>
        <w:tc>
          <w:tcPr>
            <w:tcW w:w="2701" w:type="dxa"/>
          </w:tcPr>
          <w:p>
            <w:r>
              <w:t>HKBN</w:t>
            </w:r>
          </w:p>
        </w:tc>
        <w:tc>
          <w:tcPr>
            <w:tcW w:w="1382" w:type="dxa"/>
          </w:tcPr>
          <w:p>
            <w:r>
              <w:t>2026财年中期</w:t>
            </w:r>
          </w:p>
        </w:tc>
        <w:tc>
          <w:tcPr>
            <w:tcW w:w="1382" w:type="dxa"/>
          </w:tcPr>
          <w:p>
            <w:r>
              <w:t>60.29亿港元</w:t>
            </w:r>
          </w:p>
        </w:tc>
        <w:tc>
          <w:tcPr>
            <w:tcW w:w="1383" w:type="dxa"/>
          </w:tcPr>
          <w:p>
            <w:r>
              <w:t>EBITDA 12.57亿港元；净利润1.08亿港元</w:t>
            </w:r>
          </w:p>
        </w:tc>
        <w:tc>
          <w:tcPr>
            <w:tcW w:w="1970" w:type="dxa"/>
          </w:tcPr>
          <w:p>
            <w:r>
              <w:t>2.70亿港元</w:t>
            </w:r>
          </w:p>
        </w:tc>
        <w:tc>
          <w:tcPr>
            <w:tcW w:type="dxa" w:w="1970"/>
          </w:tcPr>
          <w:p>
            <w:r>
              <w:t>中期股息15.5港仙</w:t>
            </w:r>
          </w:p>
        </w:tc>
      </w:tr>
      <w:tr w:rsidR="00BA3003" w14:paraId="3C2B5CD4" w14:textId="77777777" w:rsidTr="00BA3003">
        <w:trPr>
          <w:trHeight w:val="569"/>
          <w:jc w:val="center"/>
        </w:trPr>
        <w:tc>
          <w:tcPr>
            <w:tcW w:w="2701" w:type="dxa"/>
          </w:tcPr>
          <w:p>
            <w:r>
              <w:t>HGC</w:t>
            </w:r>
          </w:p>
        </w:tc>
        <w:tc>
          <w:tcPr>
            <w:tcW w:w="1382" w:type="dxa"/>
          </w:tcPr>
          <w:p>
            <w:r>
              <w:t>持续观察</w:t>
            </w:r>
          </w:p>
        </w:tc>
        <w:tc>
          <w:tcPr>
            <w:tcW w:w="1382" w:type="dxa"/>
          </w:tcPr>
          <w:p>
            <w:r>
              <w:t>非上市主体未公开披露</w:t>
            </w:r>
          </w:p>
        </w:tc>
        <w:tc>
          <w:tcPr>
            <w:tcW w:w="1383" w:type="dxa"/>
          </w:tcPr>
          <w:p>
            <w:r>
              <w:t>非上市主体未公开披露</w:t>
            </w:r>
          </w:p>
        </w:tc>
        <w:tc>
          <w:tcPr>
            <w:tcW w:w="1970" w:type="dxa"/>
          </w:tcPr>
          <w:p>
            <w:r>
              <w:t>非上市主体未公开披露</w:t>
            </w:r>
          </w:p>
        </w:tc>
        <w:tc>
          <w:tcPr>
            <w:tcW w:type="dxa" w:w="1970"/>
          </w:tcPr>
          <w:p>
            <w:r>
              <w:t>不适用</w:t>
            </w:r>
          </w:p>
        </w:tc>
      </w:tr>
      <w:tr w:rsidR="00BA3003" w14:paraId="554C3DD1" w14:textId="77777777" w:rsidTr="00BA3003">
        <w:trPr>
          <w:trHeight w:val="50"/>
          <w:jc w:val="center"/>
        </w:trPr>
        <w:tc>
          <w:tcPr>
            <w:tcW w:w="2701" w:type="dxa"/>
          </w:tcPr>
          <w:p>
            <w:r>
              <w:t>i-CABLE</w:t>
            </w:r>
          </w:p>
        </w:tc>
        <w:tc>
          <w:tcPr>
            <w:tcW w:w="1382" w:type="dxa"/>
          </w:tcPr>
          <w:p>
            <w:r>
              <w:t>2025年度</w:t>
            </w:r>
          </w:p>
        </w:tc>
        <w:tc>
          <w:tcPr>
            <w:tcW w:w="1382" w:type="dxa"/>
          </w:tcPr>
          <w:p>
            <w:r>
              <w:t>5.39亿港元</w:t>
            </w:r>
          </w:p>
        </w:tc>
        <w:tc>
          <w:tcPr>
            <w:tcW w:w="1383" w:type="dxa"/>
          </w:tcPr>
          <w:p>
            <w:r>
              <w:t>亏损4.90亿港元</w:t>
            </w:r>
          </w:p>
        </w:tc>
        <w:tc>
          <w:tcPr>
            <w:tcW w:w="1970" w:type="dxa"/>
          </w:tcPr>
          <w:p>
            <w:r>
              <w:t>未单列；资本承诺56万港元</w:t>
            </w:r>
          </w:p>
        </w:tc>
        <w:tc>
          <w:tcPr>
            <w:tcW w:type="dxa" w:w="1970"/>
          </w:tcPr>
          <w:p>
            <w:r>
              <w:t>不派末期股息</w:t>
            </w:r>
          </w:p>
        </w:tc>
      </w:tr>
    </w:tbl>
    <w:p w14:paraId="47F3CC3F" w14:textId="77777777" w:rsidR="00394201" w:rsidRDefault="002E2042">
      <w:pPr>
        <w:pStyle w:val="af"/>
        <w:spacing w:before="180" w:line="312" w:lineRule="auto"/>
        <w:ind w:leftChars="0"/>
        <w:jc w:val="both"/>
        <w:rPr>
          <w:rFonts w:ascii="Times New Roman" w:eastAsia="FangSong_GB2312" w:hAnsi="Times New Roman" w:cs="Times New Roman"/>
          <w:b/>
          <w:sz w:val="32"/>
          <w:szCs w:val="32"/>
          <w:lang w:eastAsia="zh-CN"/>
        </w:rPr>
      </w:pPr>
      <w:r>
        <w:rPr>
          <w:rFonts w:ascii="Times New Roman" w:eastAsia="FangSong_GB2312" w:hAnsi="Times New Roman" w:cs="Times New Roman" w:hint="eastAsia"/>
          <w:b/>
          <w:sz w:val="32"/>
          <w:szCs w:val="32"/>
          <w:lang w:eastAsia="zh-CN"/>
        </w:rPr>
        <w:t>中国移动（2026Q1业绩4月20日；年度会3月26日）关键摘要</w:t>
      </w:r>
      <w:r>
        <w:rPr>
          <w:rFonts w:ascii="Times New Roman" w:eastAsia="FangSong_GB2312" w:hAnsi="Times New Roman" w:cs="Times New Roman"/>
          <w:b/>
          <w:sz w:val="32"/>
          <w:szCs w:val="32"/>
          <w:lang w:eastAsia="zh-CN"/>
        </w:rPr>
      </w:r>
      <w:r>
        <w:rPr>
          <w:rFonts w:ascii="Times New Roman" w:eastAsia="FangSong_GB2312" w:hAnsi="Times New Roman" w:cs="Times New Roman" w:hint="eastAsia"/>
          <w:b/>
          <w:sz w:val="32"/>
          <w:szCs w:val="32"/>
          <w:lang w:eastAsia="zh-CN"/>
        </w:rPr>
      </w:r>
      <w:r>
        <w:rPr>
          <w:rFonts w:ascii="Times New Roman" w:eastAsia="FangSong_GB2312" w:hAnsi="Times New Roman" w:cs="Times New Roman" w:hint="eastAsia"/>
          <w:b/>
          <w:sz w:val="32"/>
          <w:szCs w:val="32"/>
          <w:lang w:eastAsia="zh-CN"/>
        </w:rPr>
      </w:r>
      <w:r>
        <w:rPr>
          <w:rFonts w:ascii="Times New Roman" w:eastAsia="FangSong_GB2312" w:hAnsi="Times New Roman" w:cs="Times New Roman"/>
          <w:b/>
          <w:sz w:val="32"/>
          <w:szCs w:val="32"/>
          <w:lang w:eastAsia="zh-CN"/>
        </w:rPr>
      </w:r>
      <w:r>
        <w:rPr>
          <w:rFonts w:ascii="Times New Roman" w:eastAsia="FangSong_GB2312" w:hAnsi="Times New Roman" w:cs="Times New Roman" w:hint="eastAsia"/>
          <w:b/>
          <w:sz w:val="32"/>
          <w:szCs w:val="32"/>
          <w:lang w:eastAsia="zh-CN"/>
        </w:rPr>
      </w:r>
    </w:p>
    <w:p w14:paraId="6EEF6141" w14:textId="77777777" w:rsidR="00394201" w:rsidRDefault="002E2042">
      <w:pPr>
        <w:pStyle w:val="af"/>
        <w:snapToGrid w:val="0"/>
        <w:spacing w:before="180" w:line="312" w:lineRule="auto"/>
        <w:ind w:leftChars="0"/>
        <w:jc w:val="both"/>
        <w:outlineLvl w:val="3"/>
        <w:rPr>
          <w:rFonts w:ascii="FangSong" w:eastAsia="FangSong" w:hAnsi="FangSong" w:cs="Times New Roman"/>
          <w:bCs/>
          <w:snapToGrid w:val="0"/>
          <w:kern w:val="24"/>
          <w:sz w:val="28"/>
          <w:szCs w:val="24"/>
          <w:lang w:eastAsia="zh-CN"/>
        </w:rPr>
      </w:pPr>
      <w:r>
        <w:rPr>
          <w:rFonts w:ascii="FangSong" w:eastAsia="FangSong" w:hAnsi="FangSong" w:cs="Times New Roman" w:hint="eastAsia"/>
          <w:b/>
          <w:bCs/>
          <w:snapToGrid w:val="0"/>
          <w:kern w:val="24"/>
          <w:sz w:val="28"/>
          <w:szCs w:val="24"/>
          <w:lang w:eastAsia="zh-CN"/>
        </w:rPr>
        <w:t>1. 派息：</w:t>
      </w:r>
      <w:r>
        <w:rPr>
          <w:rFonts w:ascii="FangSong" w:eastAsia="FangSong" w:hAnsi="FangSong" w:cs="Times New Roman" w:hint="eastAsia"/>
          <w:b w:val="0"/>
          <w:bCs/>
          <w:snapToGrid w:val="0"/>
          <w:kern w:val="24"/>
          <w:sz w:val="28"/>
          <w:szCs w:val="24"/>
          <w:lang w:eastAsia="zh-CN"/>
        </w:rPr>
        <w:t>全年派息每股5.27港元，同比增加3.5%，全年派息率75%；公司指引2026年派息率稳中有升，继续增强股东回报。</w:t>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p>
    <w:p w14:paraId="6EEF6141" w14:textId="77777777" w:rsidR="00394201" w:rsidRDefault="002E2042">
      <w:pPr>
        <w:pStyle w:val="af"/>
        <w:snapToGrid w:val="0"/>
        <w:spacing w:before="180" w:line="312" w:lineRule="auto"/>
        <w:ind w:leftChars="0"/>
        <w:jc w:val="both"/>
        <w:outlineLvl w:val="3"/>
        <w:rPr>
          <w:rFonts w:ascii="FangSong" w:eastAsia="FangSong" w:hAnsi="FangSong" w:cs="Times New Roman"/>
          <w:bCs/>
          <w:snapToGrid w:val="0"/>
          <w:kern w:val="24"/>
          <w:sz w:val="28"/>
          <w:szCs w:val="24"/>
          <w:lang w:eastAsia="zh-CN"/>
        </w:rPr>
      </w:pPr>
      <w:r>
        <w:rPr>
          <w:rFonts w:ascii="FangSong" w:eastAsia="FangSong" w:hAnsi="FangSong" w:cs="Times New Roman" w:hint="eastAsia"/>
          <w:b/>
          <w:bCs/>
          <w:snapToGrid w:val="0"/>
          <w:kern w:val="24"/>
          <w:sz w:val="28"/>
          <w:szCs w:val="24"/>
          <w:lang w:eastAsia="zh-CN"/>
        </w:rPr>
        <w:t>2. 资本开支：</w:t>
      </w:r>
      <w:r>
        <w:rPr>
          <w:rFonts w:ascii="FangSong" w:eastAsia="FangSong" w:hAnsi="FangSong" w:cs="Times New Roman" w:hint="eastAsia"/>
          <w:b w:val="0"/>
          <w:bCs/>
          <w:snapToGrid w:val="0"/>
          <w:kern w:val="24"/>
          <w:sz w:val="28"/>
          <w:szCs w:val="24"/>
          <w:lang w:eastAsia="zh-CN"/>
        </w:rPr>
        <w:t>2025年资本开支1509亿元，同比下降8.0%；2026年计划资本开支1366亿元，同比再降9.5%，其中算力网络投资增长62.4%、AI网络投资增长19.8%。</w:t>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p>
    <w:p w14:paraId="6EEF6141" w14:textId="77777777" w:rsidR="00394201" w:rsidRDefault="002E2042">
      <w:pPr>
        <w:pStyle w:val="af"/>
        <w:snapToGrid w:val="0"/>
        <w:spacing w:before="180" w:line="312" w:lineRule="auto"/>
        <w:ind w:leftChars="0"/>
        <w:jc w:val="both"/>
        <w:outlineLvl w:val="3"/>
        <w:rPr>
          <w:rFonts w:ascii="FangSong" w:eastAsia="FangSong" w:hAnsi="FangSong" w:cs="Times New Roman"/>
          <w:bCs/>
          <w:snapToGrid w:val="0"/>
          <w:kern w:val="24"/>
          <w:sz w:val="28"/>
          <w:szCs w:val="24"/>
          <w:lang w:eastAsia="zh-CN"/>
        </w:rPr>
      </w:pPr>
      <w:r>
        <w:rPr>
          <w:rFonts w:ascii="FangSong" w:eastAsia="FangSong" w:hAnsi="FangSong" w:cs="Times New Roman" w:hint="eastAsia"/>
          <w:b/>
          <w:bCs/>
          <w:snapToGrid w:val="0"/>
          <w:kern w:val="24"/>
          <w:sz w:val="28"/>
          <w:szCs w:val="24"/>
          <w:lang w:eastAsia="zh-CN"/>
        </w:rPr>
        <w:t>3. 战略升级：</w:t>
      </w:r>
      <w:r>
        <w:rPr>
          <w:rFonts w:ascii="FangSong" w:eastAsia="FangSong" w:hAnsi="FangSong" w:cs="Times New Roman" w:hint="eastAsia"/>
          <w:b w:val="0"/>
          <w:bCs/>
          <w:snapToGrid w:val="0"/>
          <w:kern w:val="24"/>
          <w:sz w:val="28"/>
          <w:szCs w:val="24"/>
          <w:lang w:eastAsia="zh-CN"/>
        </w:rPr>
        <w:t>年度说明会提出从传统通信服务向“通信服务、算力服务、AI服务”三大业务协同推进；最新一季度业绩显示营业收入2665亿元、同比增长1.0%，主营业务收入2199亿元、同比下降1.1%，其他业务收入466亿元、同比增长12.7%，转型业务对冲传统业务压力。</w:t>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p>
    <w:p w14:paraId="6EEF6141" w14:textId="77777777" w:rsidR="00394201" w:rsidRDefault="002E2042">
      <w:pPr>
        <w:pStyle w:val="af"/>
        <w:snapToGrid w:val="0"/>
        <w:spacing w:before="180" w:line="312" w:lineRule="auto"/>
        <w:ind w:leftChars="0"/>
        <w:jc w:val="both"/>
        <w:outlineLvl w:val="3"/>
        <w:rPr>
          <w:rFonts w:ascii="FangSong" w:eastAsia="FangSong" w:hAnsi="FangSong" w:cs="Times New Roman"/>
          <w:bCs/>
          <w:snapToGrid w:val="0"/>
          <w:kern w:val="24"/>
          <w:sz w:val="28"/>
          <w:szCs w:val="24"/>
          <w:lang w:eastAsia="zh-CN"/>
        </w:rPr>
      </w:pPr>
      <w:r>
        <w:rPr>
          <w:rFonts w:ascii="FangSong" w:eastAsia="FangSong" w:hAnsi="FangSong" w:cs="Times New Roman" w:hint="eastAsia"/>
          <w:b/>
          <w:bCs/>
          <w:snapToGrid w:val="0"/>
          <w:kern w:val="24"/>
          <w:sz w:val="28"/>
          <w:szCs w:val="24"/>
          <w:lang w:eastAsia="zh-CN"/>
        </w:rPr>
        <w:t>4. 券商观点：券商观点整体维持正面：花旗维持买入并给出105.1港元目标价；另有机构维持跑赢大市/与大市同步评级，关注高股息与资本开支效率。</w:t>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p>
    <w:p w14:paraId="6EEF6141" w14:textId="77777777" w:rsidR="00394201" w:rsidRDefault="002E2042">
      <w:pPr>
        <w:pStyle w:val="af"/>
        <w:snapToGrid w:val="0"/>
        <w:spacing w:before="180" w:line="312" w:lineRule="auto"/>
        <w:ind w:leftChars="0"/>
        <w:jc w:val="both"/>
        <w:outlineLvl w:val="3"/>
        <w:rPr>
          <w:rFonts w:ascii="FangSong" w:eastAsia="FangSong" w:hAnsi="FangSong" w:cs="Times New Roman"/>
          <w:bCs/>
          <w:snapToGrid w:val="0"/>
          <w:kern w:val="24"/>
          <w:sz w:val="28"/>
          <w:szCs w:val="24"/>
          <w:lang w:eastAsia="zh-CN"/>
        </w:rPr>
      </w:pPr>
      <w:r>
        <w:rPr>
          <w:rFonts w:ascii="FangSong" w:eastAsia="FangSong" w:hAnsi="FangSong" w:cs="Times New Roman" w:hint="eastAsia"/>
          <w:b/>
          <w:bCs/>
          <w:snapToGrid w:val="0"/>
          <w:kern w:val="24"/>
          <w:sz w:val="28"/>
          <w:szCs w:val="24"/>
          <w:lang w:eastAsia="zh-CN"/>
        </w:rPr>
        <w:t>5. 市场反应：</w:t>
      </w:r>
      <w:r>
        <w:rPr>
          <w:rFonts w:ascii="FangSong" w:eastAsia="FangSong" w:hAnsi="FangSong" w:cs="Times New Roman" w:hint="eastAsia"/>
          <w:b w:val="0"/>
          <w:bCs/>
          <w:snapToGrid w:val="0"/>
          <w:kern w:val="24"/>
          <w:sz w:val="28"/>
          <w:szCs w:val="24"/>
          <w:lang w:eastAsia="zh-CN"/>
        </w:rPr>
        <w:t>最新一季度归母净利润293亿元、同比下降4.2%，市场关注点从年度派息和资本开支效率，延伸到税改/成本压力、主营业务下滑和算力/AI转型兑现节奏。</w:t>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p>
    <w:p w14:paraId="47F3CC3F" w14:textId="77777777" w:rsidR="00394201" w:rsidRDefault="002E2042">
      <w:pPr>
        <w:pStyle w:val="af"/>
        <w:spacing w:before="180" w:line="312" w:lineRule="auto"/>
        <w:ind w:leftChars="0"/>
        <w:jc w:val="both"/>
        <w:rPr>
          <w:rFonts w:ascii="Times New Roman" w:eastAsia="FangSong_GB2312" w:hAnsi="Times New Roman" w:cs="Times New Roman"/>
          <w:b/>
          <w:sz w:val="32"/>
          <w:szCs w:val="32"/>
          <w:lang w:eastAsia="zh-CN"/>
        </w:rPr>
      </w:pPr>
      <w:r>
        <w:rPr>
          <w:rFonts w:ascii="Times New Roman" w:eastAsia="FangSong_GB2312" w:hAnsi="Times New Roman" w:cs="Times New Roman" w:hint="eastAsia"/>
          <w:b/>
          <w:sz w:val="32"/>
          <w:szCs w:val="32"/>
          <w:lang w:eastAsia="zh-CN"/>
        </w:rPr>
        <w:t>中国电信（2026Q1报告4月23日；年度会3月24日）关键摘要</w:t>
      </w:r>
      <w:r>
        <w:rPr>
          <w:rFonts w:ascii="Times New Roman" w:eastAsia="FangSong_GB2312" w:hAnsi="Times New Roman" w:cs="Times New Roman"/>
          <w:b/>
          <w:sz w:val="32"/>
          <w:szCs w:val="32"/>
          <w:lang w:eastAsia="zh-CN"/>
        </w:rPr>
      </w:r>
      <w:r>
        <w:rPr>
          <w:rFonts w:ascii="Times New Roman" w:eastAsia="FangSong_GB2312" w:hAnsi="Times New Roman" w:cs="Times New Roman" w:hint="eastAsia"/>
          <w:b/>
          <w:sz w:val="32"/>
          <w:szCs w:val="32"/>
          <w:lang w:eastAsia="zh-CN"/>
        </w:rPr>
      </w:r>
      <w:r>
        <w:rPr>
          <w:rFonts w:ascii="Times New Roman" w:eastAsia="FangSong_GB2312" w:hAnsi="Times New Roman" w:cs="Times New Roman" w:hint="eastAsia"/>
          <w:b/>
          <w:sz w:val="32"/>
          <w:szCs w:val="32"/>
          <w:lang w:eastAsia="zh-CN"/>
        </w:rPr>
      </w:r>
      <w:r>
        <w:rPr>
          <w:rFonts w:ascii="Times New Roman" w:eastAsia="FangSong_GB2312" w:hAnsi="Times New Roman" w:cs="Times New Roman"/>
          <w:b/>
          <w:sz w:val="32"/>
          <w:szCs w:val="32"/>
          <w:lang w:eastAsia="zh-CN"/>
        </w:rPr>
      </w:r>
      <w:r>
        <w:rPr>
          <w:rFonts w:ascii="Times New Roman" w:eastAsia="FangSong_GB2312" w:hAnsi="Times New Roman" w:cs="Times New Roman" w:hint="eastAsia"/>
          <w:b/>
          <w:sz w:val="32"/>
          <w:szCs w:val="32"/>
          <w:lang w:eastAsia="zh-CN"/>
        </w:rPr>
      </w:r>
    </w:p>
    <w:p w14:paraId="6EEF6141" w14:textId="77777777" w:rsidR="00394201" w:rsidRDefault="002E2042">
      <w:pPr>
        <w:pStyle w:val="af"/>
        <w:snapToGrid w:val="0"/>
        <w:spacing w:before="180" w:line="312" w:lineRule="auto"/>
        <w:ind w:leftChars="0"/>
        <w:jc w:val="both"/>
        <w:outlineLvl w:val="3"/>
        <w:rPr>
          <w:rFonts w:ascii="FangSong" w:eastAsia="FangSong" w:hAnsi="FangSong" w:cs="Times New Roman"/>
          <w:bCs/>
          <w:snapToGrid w:val="0"/>
          <w:kern w:val="24"/>
          <w:sz w:val="28"/>
          <w:szCs w:val="24"/>
          <w:lang w:eastAsia="zh-CN"/>
        </w:rPr>
      </w:pPr>
      <w:r>
        <w:rPr>
          <w:rFonts w:ascii="FangSong" w:eastAsia="FangSong" w:hAnsi="FangSong" w:cs="Times New Roman" w:hint="eastAsia"/>
          <w:b/>
          <w:bCs/>
          <w:snapToGrid w:val="0"/>
          <w:kern w:val="24"/>
          <w:sz w:val="28"/>
          <w:szCs w:val="24"/>
          <w:lang w:eastAsia="zh-CN"/>
        </w:rPr>
        <w:t>1. 派息：</w:t>
      </w:r>
      <w:r>
        <w:rPr>
          <w:rFonts w:ascii="FangSong" w:eastAsia="FangSong" w:hAnsi="FangSong" w:cs="Times New Roman" w:hint="eastAsia"/>
          <w:b w:val="0"/>
          <w:bCs/>
          <w:snapToGrid w:val="0"/>
          <w:kern w:val="24"/>
          <w:sz w:val="28"/>
          <w:szCs w:val="24"/>
          <w:lang w:eastAsia="zh-CN"/>
        </w:rPr>
        <w:t>全年派息每股0.2720元，同比增加4.7%；其中末期股息每股0.0908元，全年现金分红比例为归母净利润的75%。</w:t>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p>
    <w:p w14:paraId="6EEF6141" w14:textId="77777777" w:rsidR="00394201" w:rsidRDefault="002E2042">
      <w:pPr>
        <w:pStyle w:val="af"/>
        <w:snapToGrid w:val="0"/>
        <w:spacing w:before="180" w:line="312" w:lineRule="auto"/>
        <w:ind w:leftChars="0"/>
        <w:jc w:val="both"/>
        <w:outlineLvl w:val="3"/>
        <w:rPr>
          <w:rFonts w:ascii="FangSong" w:eastAsia="FangSong" w:hAnsi="FangSong" w:cs="Times New Roman"/>
          <w:bCs/>
          <w:snapToGrid w:val="0"/>
          <w:kern w:val="24"/>
          <w:sz w:val="28"/>
          <w:szCs w:val="24"/>
          <w:lang w:eastAsia="zh-CN"/>
        </w:rPr>
      </w:pPr>
      <w:r>
        <w:rPr>
          <w:rFonts w:ascii="FangSong" w:eastAsia="FangSong" w:hAnsi="FangSong" w:cs="Times New Roman" w:hint="eastAsia"/>
          <w:b/>
          <w:bCs/>
          <w:snapToGrid w:val="0"/>
          <w:kern w:val="24"/>
          <w:sz w:val="28"/>
          <w:szCs w:val="24"/>
          <w:lang w:eastAsia="zh-CN"/>
        </w:rPr>
        <w:t>2. 资本开支：</w:t>
      </w:r>
      <w:r>
        <w:rPr>
          <w:rFonts w:ascii="FangSong" w:eastAsia="FangSong" w:hAnsi="FangSong" w:cs="Times New Roman" w:hint="eastAsia"/>
          <w:b w:val="0"/>
          <w:bCs/>
          <w:snapToGrid w:val="0"/>
          <w:kern w:val="24"/>
          <w:sz w:val="28"/>
          <w:szCs w:val="24"/>
          <w:lang w:eastAsia="zh-CN"/>
        </w:rPr>
        <w:t>2025年资本开支804亿元；公司继续围绕云网融合、AIDC、算力和AI基础设施投入，同时保持自由现金流改善。</w:t>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p>
    <w:p w14:paraId="6EEF6141" w14:textId="77777777" w:rsidR="00394201" w:rsidRDefault="002E2042">
      <w:pPr>
        <w:pStyle w:val="af"/>
        <w:snapToGrid w:val="0"/>
        <w:spacing w:before="180" w:line="312" w:lineRule="auto"/>
        <w:ind w:leftChars="0"/>
        <w:jc w:val="both"/>
        <w:outlineLvl w:val="3"/>
        <w:rPr>
          <w:rFonts w:ascii="FangSong" w:eastAsia="FangSong" w:hAnsi="FangSong" w:cs="Times New Roman"/>
          <w:bCs/>
          <w:snapToGrid w:val="0"/>
          <w:kern w:val="24"/>
          <w:sz w:val="28"/>
          <w:szCs w:val="24"/>
          <w:lang w:eastAsia="zh-CN"/>
        </w:rPr>
      </w:pPr>
      <w:r>
        <w:rPr>
          <w:rFonts w:ascii="FangSong" w:eastAsia="FangSong" w:hAnsi="FangSong" w:cs="Times New Roman" w:hint="eastAsia"/>
          <w:b/>
          <w:bCs/>
          <w:snapToGrid w:val="0"/>
          <w:kern w:val="24"/>
          <w:sz w:val="28"/>
          <w:szCs w:val="24"/>
          <w:lang w:eastAsia="zh-CN"/>
        </w:rPr>
        <w:t>3. 战略升级：</w:t>
      </w:r>
      <w:r>
        <w:rPr>
          <w:rFonts w:ascii="FangSong" w:eastAsia="FangSong" w:hAnsi="FangSong" w:cs="Times New Roman" w:hint="eastAsia"/>
          <w:b w:val="0"/>
          <w:bCs/>
          <w:snapToGrid w:val="0"/>
          <w:kern w:val="24"/>
          <w:sz w:val="28"/>
          <w:szCs w:val="24"/>
          <w:lang w:eastAsia="zh-CN"/>
        </w:rPr>
        <w:t>年度说明会将战略从“云改数转”升级为“云改数转智惠”，全面拥抱AI；最新一季度报告后，重点继续落在AI、天翼云、AIDC、安全、量子和低空经济等产业数字化能力。</w:t>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p>
    <w:p w14:paraId="6EEF6141" w14:textId="77777777" w:rsidR="00394201" w:rsidRDefault="002E2042">
      <w:pPr>
        <w:pStyle w:val="af"/>
        <w:snapToGrid w:val="0"/>
        <w:spacing w:before="180" w:line="312" w:lineRule="auto"/>
        <w:ind w:leftChars="0"/>
        <w:jc w:val="both"/>
        <w:outlineLvl w:val="3"/>
        <w:rPr>
          <w:rFonts w:ascii="FangSong" w:eastAsia="FangSong" w:hAnsi="FangSong" w:cs="Times New Roman"/>
          <w:bCs/>
          <w:snapToGrid w:val="0"/>
          <w:kern w:val="24"/>
          <w:sz w:val="28"/>
          <w:szCs w:val="24"/>
          <w:lang w:eastAsia="zh-CN"/>
        </w:rPr>
      </w:pPr>
      <w:r>
        <w:rPr>
          <w:rFonts w:ascii="FangSong" w:eastAsia="FangSong" w:hAnsi="FangSong" w:cs="Times New Roman" w:hint="eastAsia"/>
          <w:b/>
          <w:bCs/>
          <w:snapToGrid w:val="0"/>
          <w:kern w:val="24"/>
          <w:sz w:val="28"/>
          <w:szCs w:val="24"/>
          <w:lang w:eastAsia="zh-CN"/>
        </w:rPr>
        <w:t>4. 券商观点：券商观点偏审慎正面：华泰证券维持买入评级，看好产业数字化业务在AI时代的发展前景，但下调盈利预测和目标价以反映传统业务和增值税调整压力。</w:t>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p>
    <w:p w14:paraId="6EEF6141" w14:textId="77777777" w:rsidR="00394201" w:rsidRDefault="002E2042">
      <w:pPr>
        <w:pStyle w:val="af"/>
        <w:snapToGrid w:val="0"/>
        <w:spacing w:before="180" w:line="312" w:lineRule="auto"/>
        <w:ind w:leftChars="0"/>
        <w:jc w:val="both"/>
        <w:outlineLvl w:val="3"/>
        <w:rPr>
          <w:rFonts w:ascii="FangSong" w:eastAsia="FangSong" w:hAnsi="FangSong" w:cs="Times New Roman"/>
          <w:bCs/>
          <w:snapToGrid w:val="0"/>
          <w:kern w:val="24"/>
          <w:sz w:val="28"/>
          <w:szCs w:val="24"/>
          <w:lang w:eastAsia="zh-CN"/>
        </w:rPr>
      </w:pPr>
      <w:r>
        <w:rPr>
          <w:rFonts w:ascii="FangSong" w:eastAsia="FangSong" w:hAnsi="FangSong" w:cs="Times New Roman" w:hint="eastAsia"/>
          <w:b/>
          <w:bCs/>
          <w:snapToGrid w:val="0"/>
          <w:kern w:val="24"/>
          <w:sz w:val="28"/>
          <w:szCs w:val="24"/>
          <w:lang w:eastAsia="zh-CN"/>
        </w:rPr>
        <w:t>5. 市场反应：</w:t>
      </w:r>
      <w:r>
        <w:rPr>
          <w:rFonts w:ascii="FangSong" w:eastAsia="FangSong" w:hAnsi="FangSong" w:cs="Times New Roman" w:hint="eastAsia"/>
          <w:b w:val="0"/>
          <w:bCs/>
          <w:snapToGrid w:val="0"/>
          <w:kern w:val="24"/>
          <w:sz w:val="28"/>
          <w:szCs w:val="24"/>
          <w:lang w:eastAsia="zh-CN"/>
        </w:rPr>
        <w:t>年度业绩说明会后股价整体维持稳定；一季度报告发布后，市场继续关注AI投入、Token经营、传统业务增长放缓、增值税影响和利润弹性。</w:t>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p>
    <w:p w14:paraId="47F3CC3F" w14:textId="77777777" w:rsidR="00394201" w:rsidRDefault="002E2042">
      <w:pPr>
        <w:pStyle w:val="af"/>
        <w:spacing w:before="180" w:line="312" w:lineRule="auto"/>
        <w:ind w:leftChars="0"/>
        <w:jc w:val="both"/>
        <w:rPr>
          <w:rFonts w:ascii="Times New Roman" w:eastAsia="FangSong_GB2312" w:hAnsi="Times New Roman" w:cs="Times New Roman"/>
          <w:b/>
          <w:sz w:val="32"/>
          <w:szCs w:val="32"/>
          <w:lang w:eastAsia="zh-CN"/>
        </w:rPr>
      </w:pPr>
      <w:r>
        <w:rPr>
          <w:rFonts w:ascii="Times New Roman" w:eastAsia="FangSong_GB2312" w:hAnsi="Times New Roman" w:cs="Times New Roman" w:hint="eastAsia"/>
          <w:b/>
          <w:sz w:val="32"/>
          <w:szCs w:val="32"/>
          <w:lang w:eastAsia="zh-CN"/>
        </w:rPr>
        <w:t>中国联通（2026Q1FAQ4月后；年度会3月19日）关键摘要</w:t>
      </w:r>
      <w:r>
        <w:rPr>
          <w:rFonts w:ascii="Times New Roman" w:eastAsia="FangSong_GB2312" w:hAnsi="Times New Roman" w:cs="Times New Roman"/>
          <w:b/>
          <w:sz w:val="32"/>
          <w:szCs w:val="32"/>
          <w:lang w:eastAsia="zh-CN"/>
        </w:rPr>
      </w:r>
      <w:r>
        <w:rPr>
          <w:rFonts w:ascii="Times New Roman" w:eastAsia="FangSong_GB2312" w:hAnsi="Times New Roman" w:cs="Times New Roman" w:hint="eastAsia"/>
          <w:b/>
          <w:sz w:val="32"/>
          <w:szCs w:val="32"/>
          <w:lang w:eastAsia="zh-CN"/>
        </w:rPr>
      </w:r>
      <w:r>
        <w:rPr>
          <w:rFonts w:ascii="Times New Roman" w:eastAsia="FangSong_GB2312" w:hAnsi="Times New Roman" w:cs="Times New Roman" w:hint="eastAsia"/>
          <w:b/>
          <w:sz w:val="32"/>
          <w:szCs w:val="32"/>
          <w:lang w:eastAsia="zh-CN"/>
        </w:rPr>
      </w:r>
      <w:r>
        <w:rPr>
          <w:rFonts w:ascii="Times New Roman" w:eastAsia="FangSong_GB2312" w:hAnsi="Times New Roman" w:cs="Times New Roman"/>
          <w:b/>
          <w:sz w:val="32"/>
          <w:szCs w:val="32"/>
          <w:lang w:eastAsia="zh-CN"/>
        </w:rPr>
      </w:r>
      <w:r>
        <w:rPr>
          <w:rFonts w:ascii="Times New Roman" w:eastAsia="FangSong_GB2312" w:hAnsi="Times New Roman" w:cs="Times New Roman" w:hint="eastAsia"/>
          <w:b/>
          <w:sz w:val="32"/>
          <w:szCs w:val="32"/>
          <w:lang w:eastAsia="zh-CN"/>
        </w:rPr>
      </w:r>
    </w:p>
    <w:p w14:paraId="6EEF6141" w14:textId="77777777" w:rsidR="00394201" w:rsidRDefault="002E2042">
      <w:pPr>
        <w:pStyle w:val="af"/>
        <w:snapToGrid w:val="0"/>
        <w:spacing w:before="180" w:line="312" w:lineRule="auto"/>
        <w:ind w:leftChars="0"/>
        <w:jc w:val="both"/>
        <w:outlineLvl w:val="3"/>
        <w:rPr>
          <w:rFonts w:ascii="FangSong" w:eastAsia="FangSong" w:hAnsi="FangSong" w:cs="Times New Roman"/>
          <w:bCs/>
          <w:snapToGrid w:val="0"/>
          <w:kern w:val="24"/>
          <w:sz w:val="28"/>
          <w:szCs w:val="24"/>
          <w:lang w:eastAsia="zh-CN"/>
        </w:rPr>
      </w:pPr>
      <w:r>
        <w:rPr>
          <w:rFonts w:ascii="FangSong" w:eastAsia="FangSong" w:hAnsi="FangSong" w:cs="Times New Roman" w:hint="eastAsia"/>
          <w:b/>
          <w:bCs/>
          <w:snapToGrid w:val="0"/>
          <w:kern w:val="24"/>
          <w:sz w:val="28"/>
          <w:szCs w:val="24"/>
          <w:lang w:eastAsia="zh-CN"/>
        </w:rPr>
        <w:t>1. 派息：</w:t>
      </w:r>
      <w:r>
        <w:rPr>
          <w:rFonts w:ascii="FangSong" w:eastAsia="FangSong" w:hAnsi="FangSong" w:cs="Times New Roman" w:hint="eastAsia"/>
          <w:b w:val="0"/>
          <w:bCs/>
          <w:snapToGrid w:val="0"/>
          <w:kern w:val="24"/>
          <w:sz w:val="28"/>
          <w:szCs w:val="24"/>
          <w:lang w:eastAsia="zh-CN"/>
        </w:rPr>
        <w:t>全年股息每股0.417元，同比增加3.1%，派息率提升至61.3%；其中末期股息每股0.1329元，已派中期股息每股0.2841元。</w:t>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p>
    <w:p w14:paraId="6EEF6141" w14:textId="77777777" w:rsidR="00394201" w:rsidRDefault="002E2042">
      <w:pPr>
        <w:pStyle w:val="af"/>
        <w:snapToGrid w:val="0"/>
        <w:spacing w:before="180" w:line="312" w:lineRule="auto"/>
        <w:ind w:leftChars="0"/>
        <w:jc w:val="both"/>
        <w:outlineLvl w:val="3"/>
        <w:rPr>
          <w:rFonts w:ascii="FangSong" w:eastAsia="FangSong" w:hAnsi="FangSong" w:cs="Times New Roman"/>
          <w:bCs/>
          <w:snapToGrid w:val="0"/>
          <w:kern w:val="24"/>
          <w:sz w:val="28"/>
          <w:szCs w:val="24"/>
          <w:lang w:eastAsia="zh-CN"/>
        </w:rPr>
      </w:pPr>
      <w:r>
        <w:rPr>
          <w:rFonts w:ascii="FangSong" w:eastAsia="FangSong" w:hAnsi="FangSong" w:cs="Times New Roman" w:hint="eastAsia"/>
          <w:b/>
          <w:bCs/>
          <w:snapToGrid w:val="0"/>
          <w:kern w:val="24"/>
          <w:sz w:val="28"/>
          <w:szCs w:val="24"/>
          <w:lang w:eastAsia="zh-CN"/>
        </w:rPr>
        <w:t>2. 资本开支：</w:t>
      </w:r>
      <w:r>
        <w:rPr>
          <w:rFonts w:ascii="FangSong" w:eastAsia="FangSong" w:hAnsi="FangSong" w:cs="Times New Roman" w:hint="eastAsia"/>
          <w:b w:val="0"/>
          <w:bCs/>
          <w:snapToGrid w:val="0"/>
          <w:kern w:val="24"/>
          <w:sz w:val="28"/>
          <w:szCs w:val="24"/>
          <w:lang w:eastAsia="zh-CN"/>
        </w:rPr>
        <w:t>2025年资本开支542亿元，资本开支占服务收入比重降至16%；2026年资本开支预计约500亿元，其中算力投资占比超过35%。</w:t>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p>
    <w:p w14:paraId="6EEF6141" w14:textId="77777777" w:rsidR="00394201" w:rsidRDefault="002E2042">
      <w:pPr>
        <w:pStyle w:val="af"/>
        <w:snapToGrid w:val="0"/>
        <w:spacing w:before="180" w:line="312" w:lineRule="auto"/>
        <w:ind w:leftChars="0"/>
        <w:jc w:val="both"/>
        <w:outlineLvl w:val="3"/>
        <w:rPr>
          <w:rFonts w:ascii="FangSong" w:eastAsia="FangSong" w:hAnsi="FangSong" w:cs="Times New Roman"/>
          <w:bCs/>
          <w:snapToGrid w:val="0"/>
          <w:kern w:val="24"/>
          <w:sz w:val="28"/>
          <w:szCs w:val="24"/>
          <w:lang w:eastAsia="zh-CN"/>
        </w:rPr>
      </w:pPr>
      <w:r>
        <w:rPr>
          <w:rFonts w:ascii="FangSong" w:eastAsia="FangSong" w:hAnsi="FangSong" w:cs="Times New Roman" w:hint="eastAsia"/>
          <w:b/>
          <w:bCs/>
          <w:snapToGrid w:val="0"/>
          <w:kern w:val="24"/>
          <w:sz w:val="28"/>
          <w:szCs w:val="24"/>
          <w:lang w:eastAsia="zh-CN"/>
        </w:rPr>
        <w:t>3. 战略升级：</w:t>
      </w:r>
      <w:r>
        <w:rPr>
          <w:rFonts w:ascii="FangSong" w:eastAsia="FangSong" w:hAnsi="FangSong" w:cs="Times New Roman" w:hint="eastAsia"/>
          <w:b w:val="0"/>
          <w:bCs/>
          <w:snapToGrid w:val="0"/>
          <w:kern w:val="24"/>
          <w:sz w:val="28"/>
          <w:szCs w:val="24"/>
          <w:lang w:eastAsia="zh-CN"/>
        </w:rPr>
        <w:t>年度说明会强调落实“AI+”行动；官网一季度FAQ披露，公司围绕“联接、算力、服务、安全”四大主责主业推进，算力业务收入154亿元、同比增长8.3%，云智产品付费用户超过1.1亿。</w:t>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p>
    <w:p w14:paraId="6EEF6141" w14:textId="77777777" w:rsidR="00394201" w:rsidRDefault="002E2042">
      <w:pPr>
        <w:pStyle w:val="af"/>
        <w:snapToGrid w:val="0"/>
        <w:spacing w:before="180" w:line="312" w:lineRule="auto"/>
        <w:ind w:leftChars="0"/>
        <w:jc w:val="both"/>
        <w:outlineLvl w:val="3"/>
        <w:rPr>
          <w:rFonts w:ascii="FangSong" w:eastAsia="FangSong" w:hAnsi="FangSong" w:cs="Times New Roman"/>
          <w:bCs/>
          <w:snapToGrid w:val="0"/>
          <w:kern w:val="24"/>
          <w:sz w:val="28"/>
          <w:szCs w:val="24"/>
          <w:lang w:eastAsia="zh-CN"/>
        </w:rPr>
      </w:pPr>
      <w:r>
        <w:rPr>
          <w:rFonts w:ascii="FangSong" w:eastAsia="FangSong" w:hAnsi="FangSong" w:cs="Times New Roman" w:hint="eastAsia"/>
          <w:b/>
          <w:bCs/>
          <w:snapToGrid w:val="0"/>
          <w:kern w:val="24"/>
          <w:sz w:val="28"/>
          <w:szCs w:val="24"/>
          <w:lang w:eastAsia="zh-CN"/>
        </w:rPr>
        <w:t>4. 券商观点：券商观点分化且偏谨慎：晨星下调中国联通公允价值预测至9.6港元并维持“无护城河”评级，瑞银维持中性评级并关注派息、EBITDA和收入增长低于预期的压力。</w:t>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p>
    <w:p w14:paraId="6EEF6141" w14:textId="77777777" w:rsidR="00394201" w:rsidRDefault="002E2042">
      <w:pPr>
        <w:pStyle w:val="af"/>
        <w:snapToGrid w:val="0"/>
        <w:spacing w:before="180" w:line="312" w:lineRule="auto"/>
        <w:ind w:leftChars="0"/>
        <w:jc w:val="both"/>
        <w:outlineLvl w:val="3"/>
        <w:rPr>
          <w:rFonts w:ascii="FangSong" w:eastAsia="FangSong" w:hAnsi="FangSong" w:cs="Times New Roman"/>
          <w:bCs/>
          <w:snapToGrid w:val="0"/>
          <w:kern w:val="24"/>
          <w:sz w:val="28"/>
          <w:szCs w:val="24"/>
          <w:lang w:eastAsia="zh-CN"/>
        </w:rPr>
      </w:pPr>
      <w:r>
        <w:rPr>
          <w:rFonts w:ascii="FangSong" w:eastAsia="FangSong" w:hAnsi="FangSong" w:cs="Times New Roman" w:hint="eastAsia"/>
          <w:b/>
          <w:bCs/>
          <w:snapToGrid w:val="0"/>
          <w:kern w:val="24"/>
          <w:sz w:val="28"/>
          <w:szCs w:val="24"/>
          <w:lang w:eastAsia="zh-CN"/>
        </w:rPr>
        <w:t>5. 市场反应：</w:t>
      </w:r>
      <w:r>
        <w:rPr>
          <w:rFonts w:ascii="FangSong" w:eastAsia="FangSong" w:hAnsi="FangSong" w:cs="Times New Roman" w:hint="eastAsia"/>
          <w:b w:val="0"/>
          <w:bCs/>
          <w:snapToGrid w:val="0"/>
          <w:kern w:val="24"/>
          <w:sz w:val="28"/>
          <w:szCs w:val="24"/>
          <w:lang w:eastAsia="zh-CN"/>
        </w:rPr>
        <w:t>最新一季度经营收入1028.24亿元、同比下降0.5%，归母净利润48.85亿元、同比下降17.6%；市场主要担忧核心业务盈利能力、资本回报率、增值税调整和派息增长可持续性。</w:t>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p>
    <w:p w14:paraId="47F3CC3F" w14:textId="77777777" w:rsidR="00394201" w:rsidRDefault="002E2042">
      <w:pPr>
        <w:pStyle w:val="af"/>
        <w:spacing w:before="180" w:line="312" w:lineRule="auto"/>
        <w:ind w:leftChars="0"/>
        <w:jc w:val="both"/>
        <w:rPr>
          <w:rFonts w:ascii="Times New Roman" w:eastAsia="FangSong_GB2312" w:hAnsi="Times New Roman" w:cs="Times New Roman"/>
          <w:b/>
          <w:sz w:val="32"/>
          <w:szCs w:val="32"/>
          <w:lang w:eastAsia="zh-CN"/>
        </w:rPr>
      </w:pPr>
      <w:r>
        <w:rPr>
          <w:rFonts w:ascii="Times New Roman" w:eastAsia="FangSong_GB2312" w:hAnsi="Times New Roman" w:cs="Times New Roman" w:hint="eastAsia"/>
          <w:b/>
          <w:sz w:val="32"/>
          <w:szCs w:val="32"/>
          <w:lang w:eastAsia="zh-CN"/>
        </w:rPr>
        <w:t>中国铁塔（2026Q1KPI4月17日；年度会3月18日）关键摘要</w:t>
      </w:r>
      <w:r>
        <w:rPr>
          <w:rFonts w:ascii="Times New Roman" w:eastAsia="FangSong_GB2312" w:hAnsi="Times New Roman" w:cs="Times New Roman"/>
          <w:b/>
          <w:sz w:val="32"/>
          <w:szCs w:val="32"/>
          <w:lang w:eastAsia="zh-CN"/>
        </w:rPr>
      </w:r>
      <w:r>
        <w:rPr>
          <w:rFonts w:ascii="Times New Roman" w:eastAsia="FangSong_GB2312" w:hAnsi="Times New Roman" w:cs="Times New Roman" w:hint="eastAsia"/>
          <w:b/>
          <w:sz w:val="32"/>
          <w:szCs w:val="32"/>
          <w:lang w:eastAsia="zh-CN"/>
        </w:rPr>
      </w:r>
      <w:r>
        <w:rPr>
          <w:rFonts w:ascii="Times New Roman" w:eastAsia="FangSong_GB2312" w:hAnsi="Times New Roman" w:cs="Times New Roman" w:hint="eastAsia"/>
          <w:b/>
          <w:sz w:val="32"/>
          <w:szCs w:val="32"/>
          <w:lang w:eastAsia="zh-CN"/>
        </w:rPr>
      </w:r>
      <w:r>
        <w:rPr>
          <w:rFonts w:ascii="Times New Roman" w:eastAsia="FangSong_GB2312" w:hAnsi="Times New Roman" w:cs="Times New Roman"/>
          <w:b/>
          <w:sz w:val="32"/>
          <w:szCs w:val="32"/>
          <w:lang w:eastAsia="zh-CN"/>
        </w:rPr>
      </w:r>
      <w:r>
        <w:rPr>
          <w:rFonts w:ascii="Times New Roman" w:eastAsia="FangSong_GB2312" w:hAnsi="Times New Roman" w:cs="Times New Roman" w:hint="eastAsia"/>
          <w:b/>
          <w:sz w:val="32"/>
          <w:szCs w:val="32"/>
          <w:lang w:eastAsia="zh-CN"/>
        </w:rPr>
      </w:r>
    </w:p>
    <w:p w14:paraId="6EEF6141" w14:textId="77777777" w:rsidR="00394201" w:rsidRDefault="002E2042">
      <w:pPr>
        <w:pStyle w:val="af"/>
        <w:snapToGrid w:val="0"/>
        <w:spacing w:before="180" w:line="312" w:lineRule="auto"/>
        <w:ind w:leftChars="0"/>
        <w:jc w:val="both"/>
        <w:outlineLvl w:val="3"/>
        <w:rPr>
          <w:rFonts w:ascii="FangSong" w:eastAsia="FangSong" w:hAnsi="FangSong" w:cs="Times New Roman"/>
          <w:bCs/>
          <w:snapToGrid w:val="0"/>
          <w:kern w:val="24"/>
          <w:sz w:val="28"/>
          <w:szCs w:val="24"/>
          <w:lang w:eastAsia="zh-CN"/>
        </w:rPr>
      </w:pPr>
      <w:r>
        <w:rPr>
          <w:rFonts w:ascii="FangSong" w:eastAsia="FangSong" w:hAnsi="FangSong" w:cs="Times New Roman" w:hint="eastAsia"/>
          <w:b/>
          <w:bCs/>
          <w:snapToGrid w:val="0"/>
          <w:kern w:val="24"/>
          <w:sz w:val="28"/>
          <w:szCs w:val="24"/>
          <w:lang w:eastAsia="zh-CN"/>
        </w:rPr>
        <w:t>1. 派息：</w:t>
      </w:r>
      <w:r>
        <w:rPr>
          <w:rFonts w:ascii="FangSong" w:eastAsia="FangSong" w:hAnsi="FangSong" w:cs="Times New Roman" w:hint="eastAsia"/>
          <w:b w:val="0"/>
          <w:bCs/>
          <w:snapToGrid w:val="0"/>
          <w:kern w:val="24"/>
          <w:sz w:val="28"/>
          <w:szCs w:val="24"/>
          <w:lang w:eastAsia="zh-CN"/>
        </w:rPr>
        <w:t>建议派发2025年末期股息每股0.32539元（税前），连同中期股息全年每股0.45789元（税前），全年可分配利润派息比率约77%。</w:t>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p>
    <w:p w14:paraId="6EEF6141" w14:textId="77777777" w:rsidR="00394201" w:rsidRDefault="002E2042">
      <w:pPr>
        <w:pStyle w:val="af"/>
        <w:snapToGrid w:val="0"/>
        <w:spacing w:before="180" w:line="312" w:lineRule="auto"/>
        <w:ind w:leftChars="0"/>
        <w:jc w:val="both"/>
        <w:outlineLvl w:val="3"/>
        <w:rPr>
          <w:rFonts w:ascii="FangSong" w:eastAsia="FangSong" w:hAnsi="FangSong" w:cs="Times New Roman"/>
          <w:bCs/>
          <w:snapToGrid w:val="0"/>
          <w:kern w:val="24"/>
          <w:sz w:val="28"/>
          <w:szCs w:val="24"/>
          <w:lang w:eastAsia="zh-CN"/>
        </w:rPr>
      </w:pPr>
      <w:r>
        <w:rPr>
          <w:rFonts w:ascii="FangSong" w:eastAsia="FangSong" w:hAnsi="FangSong" w:cs="Times New Roman" w:hint="eastAsia"/>
          <w:b/>
          <w:bCs/>
          <w:snapToGrid w:val="0"/>
          <w:kern w:val="24"/>
          <w:sz w:val="28"/>
          <w:szCs w:val="24"/>
          <w:lang w:eastAsia="zh-CN"/>
        </w:rPr>
        <w:t>2. 资本开支：</w:t>
      </w:r>
      <w:r>
        <w:rPr>
          <w:rFonts w:ascii="FangSong" w:eastAsia="FangSong" w:hAnsi="FangSong" w:cs="Times New Roman" w:hint="eastAsia"/>
          <w:b w:val="0"/>
          <w:bCs/>
          <w:snapToGrid w:val="0"/>
          <w:kern w:val="24"/>
          <w:sz w:val="28"/>
          <w:szCs w:val="24"/>
          <w:lang w:eastAsia="zh-CN"/>
        </w:rPr>
        <w:t>2025年资本开支294.86亿元，同比下降7.7%；自由现金流266.30亿元，同比增加91.03亿元，投资更聚焦站址共享、室分和两翼业务效率提升。</w:t>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p>
    <w:p w14:paraId="6EEF6141" w14:textId="77777777" w:rsidR="00394201" w:rsidRDefault="002E2042">
      <w:pPr>
        <w:pStyle w:val="af"/>
        <w:snapToGrid w:val="0"/>
        <w:spacing w:before="180" w:line="312" w:lineRule="auto"/>
        <w:ind w:leftChars="0"/>
        <w:jc w:val="both"/>
        <w:outlineLvl w:val="3"/>
        <w:rPr>
          <w:rFonts w:ascii="FangSong" w:eastAsia="FangSong" w:hAnsi="FangSong" w:cs="Times New Roman"/>
          <w:bCs/>
          <w:snapToGrid w:val="0"/>
          <w:kern w:val="24"/>
          <w:sz w:val="28"/>
          <w:szCs w:val="24"/>
          <w:lang w:eastAsia="zh-CN"/>
        </w:rPr>
      </w:pPr>
      <w:r>
        <w:rPr>
          <w:rFonts w:ascii="FangSong" w:eastAsia="FangSong" w:hAnsi="FangSong" w:cs="Times New Roman" w:hint="eastAsia"/>
          <w:b/>
          <w:bCs/>
          <w:snapToGrid w:val="0"/>
          <w:kern w:val="24"/>
          <w:sz w:val="28"/>
          <w:szCs w:val="24"/>
          <w:lang w:eastAsia="zh-CN"/>
        </w:rPr>
        <w:t>3. 战略升级：</w:t>
      </w:r>
      <w:r>
        <w:rPr>
          <w:rFonts w:ascii="FangSong" w:eastAsia="FangSong" w:hAnsi="FangSong" w:cs="Times New Roman" w:hint="eastAsia"/>
          <w:b w:val="0"/>
          <w:bCs/>
          <w:snapToGrid w:val="0"/>
          <w:kern w:val="24"/>
          <w:sz w:val="28"/>
          <w:szCs w:val="24"/>
          <w:lang w:eastAsia="zh-CN"/>
        </w:rPr>
        <w:t>年度说明会继续深化“一体两翼”战略；最新一季度KPI披露后，跟踪重点转向站址/租户规模、共享率、两翼业务延续增长和能源/智联业务质量。</w:t>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p>
    <w:p w14:paraId="6EEF6141" w14:textId="77777777" w:rsidR="00394201" w:rsidRDefault="002E2042">
      <w:pPr>
        <w:pStyle w:val="af"/>
        <w:snapToGrid w:val="0"/>
        <w:spacing w:before="180" w:line="312" w:lineRule="auto"/>
        <w:ind w:leftChars="0"/>
        <w:jc w:val="both"/>
        <w:outlineLvl w:val="3"/>
        <w:rPr>
          <w:rFonts w:ascii="FangSong" w:eastAsia="FangSong" w:hAnsi="FangSong" w:cs="Times New Roman"/>
          <w:bCs/>
          <w:snapToGrid w:val="0"/>
          <w:kern w:val="24"/>
          <w:sz w:val="28"/>
          <w:szCs w:val="24"/>
          <w:lang w:eastAsia="zh-CN"/>
        </w:rPr>
      </w:pPr>
      <w:r>
        <w:rPr>
          <w:rFonts w:ascii="FangSong" w:eastAsia="FangSong" w:hAnsi="FangSong" w:cs="Times New Roman" w:hint="eastAsia"/>
          <w:b/>
          <w:bCs/>
          <w:snapToGrid w:val="0"/>
          <w:kern w:val="24"/>
          <w:sz w:val="28"/>
          <w:szCs w:val="24"/>
          <w:lang w:eastAsia="zh-CN"/>
        </w:rPr>
        <w:t>4. 券商观点：券商观点偏中性：市场关注铁塔旧站升级维修开支、运营商资本开支下行对塔类业务的影响，同时认可两翼业务增长和股东回报提升。</w:t>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p>
    <w:p w14:paraId="6EEF6141" w14:textId="77777777" w:rsidR="00394201" w:rsidRDefault="002E2042">
      <w:pPr>
        <w:pStyle w:val="af"/>
        <w:snapToGrid w:val="0"/>
        <w:spacing w:before="180" w:line="312" w:lineRule="auto"/>
        <w:ind w:leftChars="0"/>
        <w:jc w:val="both"/>
        <w:outlineLvl w:val="3"/>
        <w:rPr>
          <w:rFonts w:ascii="FangSong" w:eastAsia="FangSong" w:hAnsi="FangSong" w:cs="Times New Roman"/>
          <w:bCs/>
          <w:snapToGrid w:val="0"/>
          <w:kern w:val="24"/>
          <w:sz w:val="28"/>
          <w:szCs w:val="24"/>
          <w:lang w:eastAsia="zh-CN"/>
        </w:rPr>
      </w:pPr>
      <w:r>
        <w:rPr>
          <w:rFonts w:ascii="FangSong" w:eastAsia="FangSong" w:hAnsi="FangSong" w:cs="Times New Roman" w:hint="eastAsia"/>
          <w:b/>
          <w:bCs/>
          <w:snapToGrid w:val="0"/>
          <w:kern w:val="24"/>
          <w:sz w:val="28"/>
          <w:szCs w:val="24"/>
          <w:lang w:eastAsia="zh-CN"/>
        </w:rPr>
        <w:t>5. 市场反应：</w:t>
      </w:r>
      <w:r>
        <w:rPr>
          <w:rFonts w:ascii="FangSong" w:eastAsia="FangSong" w:hAnsi="FangSong" w:cs="Times New Roman" w:hint="eastAsia"/>
          <w:b w:val="0"/>
          <w:bCs/>
          <w:snapToGrid w:val="0"/>
          <w:kern w:val="24"/>
          <w:sz w:val="28"/>
          <w:szCs w:val="24"/>
          <w:lang w:eastAsia="zh-CN"/>
        </w:rPr>
        <w:t>市场反应重点在利润增长和派息提升的防御属性；一季度KPI披露后，继续关注运营商投资周期下行、塔类业务增速、站址共享效率和维护成本变化。</w:t>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p>
    <w:p w14:paraId="47F3CC3F" w14:textId="77777777" w:rsidR="00394201" w:rsidRDefault="002E2042">
      <w:pPr>
        <w:pStyle w:val="af"/>
        <w:spacing w:before="180" w:line="312" w:lineRule="auto"/>
        <w:ind w:leftChars="0"/>
        <w:jc w:val="both"/>
        <w:rPr>
          <w:rFonts w:ascii="Times New Roman" w:eastAsia="FangSong_GB2312" w:hAnsi="Times New Roman" w:cs="Times New Roman"/>
          <w:b/>
          <w:sz w:val="32"/>
          <w:szCs w:val="32"/>
          <w:lang w:eastAsia="zh-CN"/>
        </w:rPr>
      </w:pPr>
      <w:r>
        <w:rPr>
          <w:rFonts w:ascii="Times New Roman" w:eastAsia="FangSong_GB2312" w:hAnsi="Times New Roman" w:cs="Times New Roman" w:hint="eastAsia"/>
          <w:b/>
          <w:sz w:val="32"/>
          <w:szCs w:val="32"/>
          <w:lang w:eastAsia="zh-CN"/>
        </w:rPr>
        <w:t>HKT / csl / 1O1O（2025年度业绩2月9日）关键摘要</w:t>
      </w:r>
      <w:r>
        <w:rPr>
          <w:rFonts w:ascii="Times New Roman" w:eastAsia="FangSong_GB2312" w:hAnsi="Times New Roman" w:cs="Times New Roman"/>
          <w:b/>
          <w:sz w:val="32"/>
          <w:szCs w:val="32"/>
          <w:lang w:eastAsia="zh-CN"/>
        </w:rPr>
      </w:r>
      <w:r>
        <w:rPr>
          <w:rFonts w:ascii="Times New Roman" w:eastAsia="FangSong_GB2312" w:hAnsi="Times New Roman" w:cs="Times New Roman" w:hint="eastAsia"/>
          <w:b/>
          <w:sz w:val="32"/>
          <w:szCs w:val="32"/>
          <w:lang w:eastAsia="zh-CN"/>
        </w:rPr>
      </w:r>
      <w:r>
        <w:rPr>
          <w:rFonts w:ascii="Times New Roman" w:eastAsia="FangSong_GB2312" w:hAnsi="Times New Roman" w:cs="Times New Roman" w:hint="eastAsia"/>
          <w:b/>
          <w:sz w:val="32"/>
          <w:szCs w:val="32"/>
          <w:lang w:eastAsia="zh-CN"/>
        </w:rPr>
      </w:r>
      <w:r>
        <w:rPr>
          <w:rFonts w:ascii="Times New Roman" w:eastAsia="FangSong_GB2312" w:hAnsi="Times New Roman" w:cs="Times New Roman"/>
          <w:b/>
          <w:sz w:val="32"/>
          <w:szCs w:val="32"/>
          <w:lang w:eastAsia="zh-CN"/>
        </w:rPr>
      </w:r>
      <w:r>
        <w:rPr>
          <w:rFonts w:ascii="Times New Roman" w:eastAsia="FangSong_GB2312" w:hAnsi="Times New Roman" w:cs="Times New Roman" w:hint="eastAsia"/>
          <w:b/>
          <w:sz w:val="32"/>
          <w:szCs w:val="32"/>
          <w:lang w:eastAsia="zh-CN"/>
        </w:rPr>
      </w:r>
    </w:p>
    <w:p w14:paraId="6EEF6141" w14:textId="77777777" w:rsidR="00394201" w:rsidRDefault="002E2042">
      <w:pPr>
        <w:pStyle w:val="af"/>
        <w:snapToGrid w:val="0"/>
        <w:spacing w:before="180" w:line="312" w:lineRule="auto"/>
        <w:ind w:leftChars="0"/>
        <w:jc w:val="both"/>
        <w:outlineLvl w:val="3"/>
        <w:rPr>
          <w:rFonts w:ascii="FangSong" w:eastAsia="FangSong" w:hAnsi="FangSong" w:cs="Times New Roman"/>
          <w:bCs/>
          <w:snapToGrid w:val="0"/>
          <w:kern w:val="24"/>
          <w:sz w:val="28"/>
          <w:szCs w:val="24"/>
          <w:lang w:eastAsia="zh-CN"/>
        </w:rPr>
      </w:pPr>
      <w:r>
        <w:rPr>
          <w:rFonts w:ascii="FangSong" w:eastAsia="FangSong" w:hAnsi="FangSong" w:cs="Times New Roman" w:hint="eastAsia"/>
          <w:b/>
          <w:bCs/>
          <w:snapToGrid w:val="0"/>
          <w:kern w:val="24"/>
          <w:sz w:val="28"/>
          <w:szCs w:val="24"/>
          <w:lang w:eastAsia="zh-CN"/>
        </w:rPr>
        <w:t>1. 派息：</w:t>
      </w:r>
      <w:r>
        <w:rPr>
          <w:rFonts w:ascii="FangSong" w:eastAsia="FangSong" w:hAnsi="FangSong" w:cs="Times New Roman" w:hint="eastAsia"/>
          <w:b w:val="0"/>
          <w:bCs/>
          <w:snapToGrid w:val="0"/>
          <w:kern w:val="24"/>
          <w:sz w:val="28"/>
          <w:szCs w:val="24"/>
          <w:lang w:eastAsia="zh-CN"/>
        </w:rPr>
        <w:t>2025年度每个股份合订单位全年分派0.8177港元，同比增加4%；其中末期分派0.4797港元。</w:t>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p>
    <w:p w14:paraId="6EEF6141" w14:textId="77777777" w:rsidR="00394201" w:rsidRDefault="002E2042">
      <w:pPr>
        <w:pStyle w:val="af"/>
        <w:snapToGrid w:val="0"/>
        <w:spacing w:before="180" w:line="312" w:lineRule="auto"/>
        <w:ind w:leftChars="0"/>
        <w:jc w:val="both"/>
        <w:outlineLvl w:val="3"/>
        <w:rPr>
          <w:rFonts w:ascii="FangSong" w:eastAsia="FangSong" w:hAnsi="FangSong" w:cs="Times New Roman"/>
          <w:bCs/>
          <w:snapToGrid w:val="0"/>
          <w:kern w:val="24"/>
          <w:sz w:val="28"/>
          <w:szCs w:val="24"/>
          <w:lang w:eastAsia="zh-CN"/>
        </w:rPr>
      </w:pPr>
      <w:r>
        <w:rPr>
          <w:rFonts w:ascii="FangSong" w:eastAsia="FangSong" w:hAnsi="FangSong" w:cs="Times New Roman" w:hint="eastAsia"/>
          <w:b/>
          <w:bCs/>
          <w:snapToGrid w:val="0"/>
          <w:kern w:val="24"/>
          <w:sz w:val="28"/>
          <w:szCs w:val="24"/>
          <w:lang w:eastAsia="zh-CN"/>
        </w:rPr>
        <w:t>2. 资本开支：</w:t>
      </w:r>
      <w:r>
        <w:rPr>
          <w:rFonts w:ascii="FangSong" w:eastAsia="FangSong" w:hAnsi="FangSong" w:cs="Times New Roman" w:hint="eastAsia"/>
          <w:b w:val="0"/>
          <w:bCs/>
          <w:snapToGrid w:val="0"/>
          <w:kern w:val="24"/>
          <w:sz w:val="28"/>
          <w:szCs w:val="24"/>
          <w:lang w:eastAsia="zh-CN"/>
        </w:rPr>
        <w:t>2025年资本开支2.70亿美元，同比下降5%；资本开支收入比由6.4%改善至5.8%。其中移动资本开支同比下降4%，反映全港5G覆盖完成后的投资纪律。</w:t>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p>
    <w:p w14:paraId="6EEF6141" w14:textId="77777777" w:rsidR="00394201" w:rsidRDefault="002E2042">
      <w:pPr>
        <w:pStyle w:val="af"/>
        <w:snapToGrid w:val="0"/>
        <w:spacing w:before="180" w:line="312" w:lineRule="auto"/>
        <w:ind w:leftChars="0"/>
        <w:jc w:val="both"/>
        <w:outlineLvl w:val="3"/>
        <w:rPr>
          <w:rFonts w:ascii="FangSong" w:eastAsia="FangSong" w:hAnsi="FangSong" w:cs="Times New Roman"/>
          <w:bCs/>
          <w:snapToGrid w:val="0"/>
          <w:kern w:val="24"/>
          <w:sz w:val="28"/>
          <w:szCs w:val="24"/>
          <w:lang w:eastAsia="zh-CN"/>
        </w:rPr>
      </w:pPr>
      <w:r>
        <w:rPr>
          <w:rFonts w:ascii="FangSong" w:eastAsia="FangSong" w:hAnsi="FangSong" w:cs="Times New Roman" w:hint="eastAsia"/>
          <w:b/>
          <w:bCs/>
          <w:snapToGrid w:val="0"/>
          <w:kern w:val="24"/>
          <w:sz w:val="28"/>
          <w:szCs w:val="24"/>
          <w:lang w:eastAsia="zh-CN"/>
        </w:rPr>
        <w:t>3. 战略升级：</w:t>
      </w:r>
      <w:r>
        <w:rPr>
          <w:rFonts w:ascii="FangSong" w:eastAsia="FangSong" w:hAnsi="FangSong" w:cs="Times New Roman" w:hint="eastAsia"/>
          <w:b w:val="0"/>
          <w:bCs/>
          <w:snapToGrid w:val="0"/>
          <w:kern w:val="24"/>
          <w:sz w:val="28"/>
          <w:szCs w:val="24"/>
          <w:lang w:eastAsia="zh-CN"/>
        </w:rPr>
        <w:t>HKT继续围绕5G、光纤宽频、企业数字化、AI Exchange和智慧生活服务推进；2025年总收益365.53亿港元，撇除流动通讯产品销售后的收益约330.17亿港元，EBITDA为142.34亿港元，同比增长4%。</w:t>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p>
    <w:p w14:paraId="6EEF6141" w14:textId="77777777" w:rsidR="00394201" w:rsidRDefault="002E2042">
      <w:pPr>
        <w:pStyle w:val="af"/>
        <w:snapToGrid w:val="0"/>
        <w:spacing w:before="180" w:line="312" w:lineRule="auto"/>
        <w:ind w:leftChars="0"/>
        <w:jc w:val="both"/>
        <w:outlineLvl w:val="3"/>
        <w:rPr>
          <w:rFonts w:ascii="FangSong" w:eastAsia="FangSong" w:hAnsi="FangSong" w:cs="Times New Roman"/>
          <w:bCs/>
          <w:snapToGrid w:val="0"/>
          <w:kern w:val="24"/>
          <w:sz w:val="28"/>
          <w:szCs w:val="24"/>
          <w:lang w:eastAsia="zh-CN"/>
        </w:rPr>
      </w:pPr>
      <w:r>
        <w:rPr>
          <w:rFonts w:ascii="FangSong" w:eastAsia="FangSong" w:hAnsi="FangSong" w:cs="Times New Roman" w:hint="eastAsia"/>
          <w:b/>
          <w:bCs/>
          <w:snapToGrid w:val="0"/>
          <w:kern w:val="24"/>
          <w:sz w:val="28"/>
          <w:szCs w:val="24"/>
          <w:lang w:eastAsia="zh-CN"/>
        </w:rPr>
        <w:t>4. 券商观点：公开检索未发现可稳定抓取且可核验的最新券商评级全文；后续应接入授权研报源。当前判断重点为分派增长、移动服务收入和AI驱动的成本效率。</w:t>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p>
    <w:p w14:paraId="6EEF6141" w14:textId="77777777" w:rsidR="00394201" w:rsidRDefault="002E2042">
      <w:pPr>
        <w:pStyle w:val="af"/>
        <w:snapToGrid w:val="0"/>
        <w:spacing w:before="180" w:line="312" w:lineRule="auto"/>
        <w:ind w:leftChars="0"/>
        <w:jc w:val="both"/>
        <w:outlineLvl w:val="3"/>
        <w:rPr>
          <w:rFonts w:ascii="FangSong" w:eastAsia="FangSong" w:hAnsi="FangSong" w:cs="Times New Roman"/>
          <w:bCs/>
          <w:snapToGrid w:val="0"/>
          <w:kern w:val="24"/>
          <w:sz w:val="28"/>
          <w:szCs w:val="24"/>
          <w:lang w:eastAsia="zh-CN"/>
        </w:rPr>
      </w:pPr>
      <w:r>
        <w:rPr>
          <w:rFonts w:ascii="FangSong" w:eastAsia="FangSong" w:hAnsi="FangSong" w:cs="Times New Roman" w:hint="eastAsia"/>
          <w:b/>
          <w:bCs/>
          <w:snapToGrid w:val="0"/>
          <w:kern w:val="24"/>
          <w:sz w:val="28"/>
          <w:szCs w:val="24"/>
          <w:lang w:eastAsia="zh-CN"/>
        </w:rPr>
        <w:t>5. 市场反应：</w:t>
      </w:r>
      <w:r>
        <w:rPr>
          <w:rFonts w:ascii="FangSong" w:eastAsia="FangSong" w:hAnsi="FangSong" w:cs="Times New Roman" w:hint="eastAsia"/>
          <w:b w:val="0"/>
          <w:bCs/>
          <w:snapToGrid w:val="0"/>
          <w:kern w:val="24"/>
          <w:sz w:val="28"/>
          <w:szCs w:val="24"/>
          <w:lang w:eastAsia="zh-CN"/>
        </w:rPr>
        <w:t>按公开交易数据，业绩发布前一交易日2月6日收盘价为11.87港元，后一交易日2月10日收盘价为12.00港元，上涨1.1%。</w:t>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p>
    <w:p w14:paraId="47F3CC3F" w14:textId="77777777" w:rsidR="00394201" w:rsidRDefault="002E2042">
      <w:pPr>
        <w:pStyle w:val="af"/>
        <w:spacing w:before="180" w:line="312" w:lineRule="auto"/>
        <w:ind w:leftChars="0"/>
        <w:jc w:val="both"/>
        <w:rPr>
          <w:rFonts w:ascii="Times New Roman" w:eastAsia="FangSong_GB2312" w:hAnsi="Times New Roman" w:cs="Times New Roman"/>
          <w:b/>
          <w:sz w:val="32"/>
          <w:szCs w:val="32"/>
          <w:lang w:eastAsia="zh-CN"/>
        </w:rPr>
      </w:pPr>
      <w:r>
        <w:rPr>
          <w:rFonts w:ascii="Times New Roman" w:eastAsia="FangSong_GB2312" w:hAnsi="Times New Roman" w:cs="Times New Roman" w:hint="eastAsia"/>
          <w:b/>
          <w:sz w:val="32"/>
          <w:szCs w:val="32"/>
          <w:lang w:eastAsia="zh-CN"/>
        </w:rPr>
        <w:t>3HK / Hutchison（2025年度业绩3月9日）关键摘要</w:t>
      </w:r>
      <w:r>
        <w:rPr>
          <w:rFonts w:ascii="Times New Roman" w:eastAsia="FangSong_GB2312" w:hAnsi="Times New Roman" w:cs="Times New Roman"/>
          <w:b/>
          <w:sz w:val="32"/>
          <w:szCs w:val="32"/>
          <w:lang w:eastAsia="zh-CN"/>
        </w:rPr>
      </w:r>
      <w:r>
        <w:rPr>
          <w:rFonts w:ascii="Times New Roman" w:eastAsia="FangSong_GB2312" w:hAnsi="Times New Roman" w:cs="Times New Roman" w:hint="eastAsia"/>
          <w:b/>
          <w:sz w:val="32"/>
          <w:szCs w:val="32"/>
          <w:lang w:eastAsia="zh-CN"/>
        </w:rPr>
      </w:r>
      <w:r>
        <w:rPr>
          <w:rFonts w:ascii="Times New Roman" w:eastAsia="FangSong_GB2312" w:hAnsi="Times New Roman" w:cs="Times New Roman" w:hint="eastAsia"/>
          <w:b/>
          <w:sz w:val="32"/>
          <w:szCs w:val="32"/>
          <w:lang w:eastAsia="zh-CN"/>
        </w:rPr>
      </w:r>
      <w:r>
        <w:rPr>
          <w:rFonts w:ascii="Times New Roman" w:eastAsia="FangSong_GB2312" w:hAnsi="Times New Roman" w:cs="Times New Roman"/>
          <w:b/>
          <w:sz w:val="32"/>
          <w:szCs w:val="32"/>
          <w:lang w:eastAsia="zh-CN"/>
        </w:rPr>
      </w:r>
      <w:r>
        <w:rPr>
          <w:rFonts w:ascii="Times New Roman" w:eastAsia="FangSong_GB2312" w:hAnsi="Times New Roman" w:cs="Times New Roman" w:hint="eastAsia"/>
          <w:b/>
          <w:sz w:val="32"/>
          <w:szCs w:val="32"/>
          <w:lang w:eastAsia="zh-CN"/>
        </w:rPr>
      </w:r>
    </w:p>
    <w:p w14:paraId="6EEF6141" w14:textId="77777777" w:rsidR="00394201" w:rsidRDefault="002E2042">
      <w:pPr>
        <w:pStyle w:val="af"/>
        <w:snapToGrid w:val="0"/>
        <w:spacing w:before="180" w:line="312" w:lineRule="auto"/>
        <w:ind w:leftChars="0"/>
        <w:jc w:val="both"/>
        <w:outlineLvl w:val="3"/>
        <w:rPr>
          <w:rFonts w:ascii="FangSong" w:eastAsia="FangSong" w:hAnsi="FangSong" w:cs="Times New Roman"/>
          <w:bCs/>
          <w:snapToGrid w:val="0"/>
          <w:kern w:val="24"/>
          <w:sz w:val="28"/>
          <w:szCs w:val="24"/>
          <w:lang w:eastAsia="zh-CN"/>
        </w:rPr>
      </w:pPr>
      <w:r>
        <w:rPr>
          <w:rFonts w:ascii="FangSong" w:eastAsia="FangSong" w:hAnsi="FangSong" w:cs="Times New Roman" w:hint="eastAsia"/>
          <w:b/>
          <w:bCs/>
          <w:snapToGrid w:val="0"/>
          <w:kern w:val="24"/>
          <w:sz w:val="28"/>
          <w:szCs w:val="24"/>
          <w:lang w:eastAsia="zh-CN"/>
        </w:rPr>
        <w:t>1. 派息：</w:t>
      </w:r>
      <w:r>
        <w:rPr>
          <w:rFonts w:ascii="FangSong" w:eastAsia="FangSong" w:hAnsi="FangSong" w:cs="Times New Roman" w:hint="eastAsia"/>
          <w:b w:val="0"/>
          <w:bCs/>
          <w:snapToGrid w:val="0"/>
          <w:kern w:val="24"/>
          <w:sz w:val="28"/>
          <w:szCs w:val="24"/>
          <w:lang w:eastAsia="zh-CN"/>
        </w:rPr>
        <w:t>建议派发2025年度末期股息每股5.21港仙；连同中期股息2.28港仙，全年股息为每股7.49港仙，与上年持平。</w:t>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p>
    <w:p w14:paraId="6EEF6141" w14:textId="77777777" w:rsidR="00394201" w:rsidRDefault="002E2042">
      <w:pPr>
        <w:pStyle w:val="af"/>
        <w:snapToGrid w:val="0"/>
        <w:spacing w:before="180" w:line="312" w:lineRule="auto"/>
        <w:ind w:leftChars="0"/>
        <w:jc w:val="both"/>
        <w:outlineLvl w:val="3"/>
        <w:rPr>
          <w:rFonts w:ascii="FangSong" w:eastAsia="FangSong" w:hAnsi="FangSong" w:cs="Times New Roman"/>
          <w:bCs/>
          <w:snapToGrid w:val="0"/>
          <w:kern w:val="24"/>
          <w:sz w:val="28"/>
          <w:szCs w:val="24"/>
          <w:lang w:eastAsia="zh-CN"/>
        </w:rPr>
      </w:pPr>
      <w:r>
        <w:rPr>
          <w:rFonts w:ascii="FangSong" w:eastAsia="FangSong" w:hAnsi="FangSong" w:cs="Times New Roman" w:hint="eastAsia"/>
          <w:b/>
          <w:bCs/>
          <w:snapToGrid w:val="0"/>
          <w:kern w:val="24"/>
          <w:sz w:val="28"/>
          <w:szCs w:val="24"/>
          <w:lang w:eastAsia="zh-CN"/>
        </w:rPr>
        <w:t>2. 资本开支：</w:t>
      </w:r>
      <w:r>
        <w:rPr>
          <w:rFonts w:ascii="FangSong" w:eastAsia="FangSong" w:hAnsi="FangSong" w:cs="Times New Roman" w:hint="eastAsia"/>
          <w:b w:val="0"/>
          <w:bCs/>
          <w:snapToGrid w:val="0"/>
          <w:kern w:val="24"/>
          <w:sz w:val="28"/>
          <w:szCs w:val="24"/>
          <w:lang w:eastAsia="zh-CN"/>
        </w:rPr>
        <w:t>2025年资本开支4.33亿港元，较重述后的2024年4.31亿港元基本稳定；资本开支占服务收入比由13%降至12%，投资继续聚焦香港网络和服务体验。</w:t>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p>
    <w:p w14:paraId="6EEF6141" w14:textId="77777777" w:rsidR="00394201" w:rsidRDefault="002E2042">
      <w:pPr>
        <w:pStyle w:val="af"/>
        <w:snapToGrid w:val="0"/>
        <w:spacing w:before="180" w:line="312" w:lineRule="auto"/>
        <w:ind w:leftChars="0"/>
        <w:jc w:val="both"/>
        <w:outlineLvl w:val="3"/>
        <w:rPr>
          <w:rFonts w:ascii="FangSong" w:eastAsia="FangSong" w:hAnsi="FangSong" w:cs="Times New Roman"/>
          <w:bCs/>
          <w:snapToGrid w:val="0"/>
          <w:kern w:val="24"/>
          <w:sz w:val="28"/>
          <w:szCs w:val="24"/>
          <w:lang w:eastAsia="zh-CN"/>
        </w:rPr>
      </w:pPr>
      <w:r>
        <w:rPr>
          <w:rFonts w:ascii="FangSong" w:eastAsia="FangSong" w:hAnsi="FangSong" w:cs="Times New Roman" w:hint="eastAsia"/>
          <w:b/>
          <w:bCs/>
          <w:snapToGrid w:val="0"/>
          <w:kern w:val="24"/>
          <w:sz w:val="28"/>
          <w:szCs w:val="24"/>
          <w:lang w:eastAsia="zh-CN"/>
        </w:rPr>
        <w:t>3. 战略升级：</w:t>
      </w:r>
      <w:r>
        <w:rPr>
          <w:rFonts w:ascii="FangSong" w:eastAsia="FangSong" w:hAnsi="FangSong" w:cs="Times New Roman" w:hint="eastAsia"/>
          <w:b w:val="0"/>
          <w:bCs/>
          <w:snapToGrid w:val="0"/>
          <w:kern w:val="24"/>
          <w:sz w:val="28"/>
          <w:szCs w:val="24"/>
          <w:lang w:eastAsia="zh-CN"/>
        </w:rPr>
        <w:t>2025年完成澳门业务出售后进一步聚焦香港市场；香港业务总收益54.48亿港元，同比增长17%，香港业务EBIT为1800万港元，同比增长6%，漫游收益增长31%，企业解决方案收益增长33%，5G渗透率升至62%。</w:t>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p>
    <w:p w14:paraId="6EEF6141" w14:textId="77777777" w:rsidR="00394201" w:rsidRDefault="002E2042">
      <w:pPr>
        <w:pStyle w:val="af"/>
        <w:snapToGrid w:val="0"/>
        <w:spacing w:before="180" w:line="312" w:lineRule="auto"/>
        <w:ind w:leftChars="0"/>
        <w:jc w:val="both"/>
        <w:outlineLvl w:val="3"/>
        <w:rPr>
          <w:rFonts w:ascii="FangSong" w:eastAsia="FangSong" w:hAnsi="FangSong" w:cs="Times New Roman"/>
          <w:bCs/>
          <w:snapToGrid w:val="0"/>
          <w:kern w:val="24"/>
          <w:sz w:val="28"/>
          <w:szCs w:val="24"/>
          <w:lang w:eastAsia="zh-CN"/>
        </w:rPr>
      </w:pPr>
      <w:r>
        <w:rPr>
          <w:rFonts w:ascii="FangSong" w:eastAsia="FangSong" w:hAnsi="FangSong" w:cs="Times New Roman" w:hint="eastAsia"/>
          <w:b/>
          <w:bCs/>
          <w:snapToGrid w:val="0"/>
          <w:kern w:val="24"/>
          <w:sz w:val="28"/>
          <w:szCs w:val="24"/>
          <w:lang w:eastAsia="zh-CN"/>
        </w:rPr>
        <w:t>4. 券商观点：公开检索未发现可稳定抓取且可核验的最新券商评级全文；当前观察重点为出售澳门业务后的资源重配、漫游复苏及AI驱动企业解决方案增长。</w:t>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p>
    <w:p w14:paraId="6EEF6141" w14:textId="77777777" w:rsidR="00394201" w:rsidRDefault="002E2042">
      <w:pPr>
        <w:pStyle w:val="af"/>
        <w:snapToGrid w:val="0"/>
        <w:spacing w:before="180" w:line="312" w:lineRule="auto"/>
        <w:ind w:leftChars="0"/>
        <w:jc w:val="both"/>
        <w:outlineLvl w:val="3"/>
        <w:rPr>
          <w:rFonts w:ascii="FangSong" w:eastAsia="FangSong" w:hAnsi="FangSong" w:cs="Times New Roman"/>
          <w:bCs/>
          <w:snapToGrid w:val="0"/>
          <w:kern w:val="24"/>
          <w:sz w:val="28"/>
          <w:szCs w:val="24"/>
          <w:lang w:eastAsia="zh-CN"/>
        </w:rPr>
      </w:pPr>
      <w:r>
        <w:rPr>
          <w:rFonts w:ascii="FangSong" w:eastAsia="FangSong" w:hAnsi="FangSong" w:cs="Times New Roman" w:hint="eastAsia"/>
          <w:b/>
          <w:bCs/>
          <w:snapToGrid w:val="0"/>
          <w:kern w:val="24"/>
          <w:sz w:val="28"/>
          <w:szCs w:val="24"/>
          <w:lang w:eastAsia="zh-CN"/>
        </w:rPr>
        <w:t>5. 市场反应：</w:t>
      </w:r>
      <w:r>
        <w:rPr>
          <w:rFonts w:ascii="FangSong" w:eastAsia="FangSong" w:hAnsi="FangSong" w:cs="Times New Roman" w:hint="eastAsia"/>
          <w:b w:val="0"/>
          <w:bCs/>
          <w:snapToGrid w:val="0"/>
          <w:kern w:val="24"/>
          <w:sz w:val="28"/>
          <w:szCs w:val="24"/>
          <w:lang w:eastAsia="zh-CN"/>
        </w:rPr>
        <w:t>按公开交易数据，业绩发布前一交易日3月6日收盘价为1.17港元，后一交易日3月10日收盘价为1.19港元，上涨1.7%。</w:t>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p>
    <w:p w14:paraId="47F3CC3F" w14:textId="77777777" w:rsidR="00394201" w:rsidRDefault="002E2042">
      <w:pPr>
        <w:pStyle w:val="af"/>
        <w:spacing w:before="180" w:line="312" w:lineRule="auto"/>
        <w:ind w:leftChars="0"/>
        <w:jc w:val="both"/>
        <w:rPr>
          <w:rFonts w:ascii="Times New Roman" w:eastAsia="FangSong_GB2312" w:hAnsi="Times New Roman" w:cs="Times New Roman"/>
          <w:b/>
          <w:sz w:val="32"/>
          <w:szCs w:val="32"/>
          <w:lang w:eastAsia="zh-CN"/>
        </w:rPr>
      </w:pPr>
      <w:r>
        <w:rPr>
          <w:rFonts w:ascii="Times New Roman" w:eastAsia="FangSong_GB2312" w:hAnsi="Times New Roman" w:cs="Times New Roman" w:hint="eastAsia"/>
          <w:b/>
          <w:sz w:val="32"/>
          <w:szCs w:val="32"/>
          <w:lang w:eastAsia="zh-CN"/>
        </w:rPr>
        <w:t>SmarTone（2025/26中期业绩2月24日）关键摘要</w:t>
      </w:r>
      <w:r>
        <w:rPr>
          <w:rFonts w:ascii="Times New Roman" w:eastAsia="FangSong_GB2312" w:hAnsi="Times New Roman" w:cs="Times New Roman"/>
          <w:b/>
          <w:sz w:val="32"/>
          <w:szCs w:val="32"/>
          <w:lang w:eastAsia="zh-CN"/>
        </w:rPr>
      </w:r>
      <w:r>
        <w:rPr>
          <w:rFonts w:ascii="Times New Roman" w:eastAsia="FangSong_GB2312" w:hAnsi="Times New Roman" w:cs="Times New Roman" w:hint="eastAsia"/>
          <w:b/>
          <w:sz w:val="32"/>
          <w:szCs w:val="32"/>
          <w:lang w:eastAsia="zh-CN"/>
        </w:rPr>
      </w:r>
      <w:r>
        <w:rPr>
          <w:rFonts w:ascii="Times New Roman" w:eastAsia="FangSong_GB2312" w:hAnsi="Times New Roman" w:cs="Times New Roman" w:hint="eastAsia"/>
          <w:b/>
          <w:sz w:val="32"/>
          <w:szCs w:val="32"/>
          <w:lang w:eastAsia="zh-CN"/>
        </w:rPr>
      </w:r>
      <w:r>
        <w:rPr>
          <w:rFonts w:ascii="Times New Roman" w:eastAsia="FangSong_GB2312" w:hAnsi="Times New Roman" w:cs="Times New Roman"/>
          <w:b/>
          <w:sz w:val="32"/>
          <w:szCs w:val="32"/>
          <w:lang w:eastAsia="zh-CN"/>
        </w:rPr>
      </w:r>
      <w:r>
        <w:rPr>
          <w:rFonts w:ascii="Times New Roman" w:eastAsia="FangSong_GB2312" w:hAnsi="Times New Roman" w:cs="Times New Roman" w:hint="eastAsia"/>
          <w:b/>
          <w:sz w:val="32"/>
          <w:szCs w:val="32"/>
          <w:lang w:eastAsia="zh-CN"/>
        </w:rPr>
      </w:r>
    </w:p>
    <w:p w14:paraId="6EEF6141" w14:textId="77777777" w:rsidR="00394201" w:rsidRDefault="002E2042">
      <w:pPr>
        <w:pStyle w:val="af"/>
        <w:snapToGrid w:val="0"/>
        <w:spacing w:before="180" w:line="312" w:lineRule="auto"/>
        <w:ind w:leftChars="0"/>
        <w:jc w:val="both"/>
        <w:outlineLvl w:val="3"/>
        <w:rPr>
          <w:rFonts w:ascii="FangSong" w:eastAsia="FangSong" w:hAnsi="FangSong" w:cs="Times New Roman"/>
          <w:bCs/>
          <w:snapToGrid w:val="0"/>
          <w:kern w:val="24"/>
          <w:sz w:val="28"/>
          <w:szCs w:val="24"/>
          <w:lang w:eastAsia="zh-CN"/>
        </w:rPr>
      </w:pPr>
      <w:r>
        <w:rPr>
          <w:rFonts w:ascii="FangSong" w:eastAsia="FangSong" w:hAnsi="FangSong" w:cs="Times New Roman" w:hint="eastAsia"/>
          <w:b/>
          <w:bCs/>
          <w:snapToGrid w:val="0"/>
          <w:kern w:val="24"/>
          <w:sz w:val="28"/>
          <w:szCs w:val="24"/>
          <w:lang w:eastAsia="zh-CN"/>
        </w:rPr>
        <w:t>1. 派息：</w:t>
      </w:r>
      <w:r>
        <w:rPr>
          <w:rFonts w:ascii="FangSong" w:eastAsia="FangSong" w:hAnsi="FangSong" w:cs="Times New Roman" w:hint="eastAsia"/>
          <w:b w:val="0"/>
          <w:bCs/>
          <w:snapToGrid w:val="0"/>
          <w:kern w:val="24"/>
          <w:sz w:val="28"/>
          <w:szCs w:val="24"/>
          <w:lang w:eastAsia="zh-CN"/>
        </w:rPr>
        <w:t>中期股息每股0.145港元，与上年同期持平。</w:t>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p>
    <w:p w14:paraId="6EEF6141" w14:textId="77777777" w:rsidR="00394201" w:rsidRDefault="002E2042">
      <w:pPr>
        <w:pStyle w:val="af"/>
        <w:snapToGrid w:val="0"/>
        <w:spacing w:before="180" w:line="312" w:lineRule="auto"/>
        <w:ind w:leftChars="0"/>
        <w:jc w:val="both"/>
        <w:outlineLvl w:val="3"/>
        <w:rPr>
          <w:rFonts w:ascii="FangSong" w:eastAsia="FangSong" w:hAnsi="FangSong" w:cs="Times New Roman"/>
          <w:bCs/>
          <w:snapToGrid w:val="0"/>
          <w:kern w:val="24"/>
          <w:sz w:val="28"/>
          <w:szCs w:val="24"/>
          <w:lang w:eastAsia="zh-CN"/>
        </w:rPr>
      </w:pPr>
      <w:r>
        <w:rPr>
          <w:rFonts w:ascii="FangSong" w:eastAsia="FangSong" w:hAnsi="FangSong" w:cs="Times New Roman" w:hint="eastAsia"/>
          <w:b/>
          <w:bCs/>
          <w:snapToGrid w:val="0"/>
          <w:kern w:val="24"/>
          <w:sz w:val="28"/>
          <w:szCs w:val="24"/>
          <w:lang w:eastAsia="zh-CN"/>
        </w:rPr>
        <w:t>2. 资本开支：</w:t>
      </w:r>
      <w:r>
        <w:rPr>
          <w:rFonts w:ascii="FangSong" w:eastAsia="FangSong" w:hAnsi="FangSong" w:cs="Times New Roman" w:hint="eastAsia"/>
          <w:b w:val="0"/>
          <w:bCs/>
          <w:snapToGrid w:val="0"/>
          <w:kern w:val="24"/>
          <w:sz w:val="28"/>
          <w:szCs w:val="24"/>
          <w:lang w:eastAsia="zh-CN"/>
        </w:rPr>
        <w:t>2025/26上半年资本开支1.79亿港元，同比下降2.7%；持续投资5G网络、客户体验和平台简化。</w:t>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p>
    <w:p w14:paraId="6EEF6141" w14:textId="77777777" w:rsidR="00394201" w:rsidRDefault="002E2042">
      <w:pPr>
        <w:pStyle w:val="af"/>
        <w:snapToGrid w:val="0"/>
        <w:spacing w:before="180" w:line="312" w:lineRule="auto"/>
        <w:ind w:leftChars="0"/>
        <w:jc w:val="both"/>
        <w:outlineLvl w:val="3"/>
        <w:rPr>
          <w:rFonts w:ascii="FangSong" w:eastAsia="FangSong" w:hAnsi="FangSong" w:cs="Times New Roman"/>
          <w:bCs/>
          <w:snapToGrid w:val="0"/>
          <w:kern w:val="24"/>
          <w:sz w:val="28"/>
          <w:szCs w:val="24"/>
          <w:lang w:eastAsia="zh-CN"/>
        </w:rPr>
      </w:pPr>
      <w:r>
        <w:rPr>
          <w:rFonts w:ascii="FangSong" w:eastAsia="FangSong" w:hAnsi="FangSong" w:cs="Times New Roman" w:hint="eastAsia"/>
          <w:b/>
          <w:bCs/>
          <w:snapToGrid w:val="0"/>
          <w:kern w:val="24"/>
          <w:sz w:val="28"/>
          <w:szCs w:val="24"/>
          <w:lang w:eastAsia="zh-CN"/>
        </w:rPr>
        <w:t>3. 战略升级：</w:t>
      </w:r>
      <w:r>
        <w:rPr>
          <w:rFonts w:ascii="FangSong" w:eastAsia="FangSong" w:hAnsi="FangSong" w:cs="Times New Roman" w:hint="eastAsia"/>
          <w:b w:val="0"/>
          <w:bCs/>
          <w:snapToGrid w:val="0"/>
          <w:kern w:val="24"/>
          <w:sz w:val="28"/>
          <w:szCs w:val="24"/>
          <w:lang w:eastAsia="zh-CN"/>
        </w:rPr>
        <w:t>2025/26上半年收益35.61亿港元，同比增长2%；本地服务收入18.71亿港元，同比增长3%；股东应占溢利2.78亿港元，同比增长8%；营运成本同比下降6%。</w:t>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p>
    <w:p w14:paraId="6EEF6141" w14:textId="77777777" w:rsidR="00394201" w:rsidRDefault="002E2042">
      <w:pPr>
        <w:pStyle w:val="af"/>
        <w:snapToGrid w:val="0"/>
        <w:spacing w:before="180" w:line="312" w:lineRule="auto"/>
        <w:ind w:leftChars="0"/>
        <w:jc w:val="both"/>
        <w:outlineLvl w:val="3"/>
        <w:rPr>
          <w:rFonts w:ascii="FangSong" w:eastAsia="FangSong" w:hAnsi="FangSong" w:cs="Times New Roman"/>
          <w:bCs/>
          <w:snapToGrid w:val="0"/>
          <w:kern w:val="24"/>
          <w:sz w:val="28"/>
          <w:szCs w:val="24"/>
          <w:lang w:eastAsia="zh-CN"/>
        </w:rPr>
      </w:pPr>
      <w:r>
        <w:rPr>
          <w:rFonts w:ascii="FangSong" w:eastAsia="FangSong" w:hAnsi="FangSong" w:cs="Times New Roman" w:hint="eastAsia"/>
          <w:b/>
          <w:bCs/>
          <w:snapToGrid w:val="0"/>
          <w:kern w:val="24"/>
          <w:sz w:val="28"/>
          <w:szCs w:val="24"/>
          <w:lang w:eastAsia="zh-CN"/>
        </w:rPr>
        <w:t>4. 券商观点：公开市场信息显示分析师口径偏正面，并出现买入评级及5.50港元目标价；正式报告应继续接入授权研报源复核。</w:t>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p>
    <w:p w14:paraId="6EEF6141" w14:textId="77777777" w:rsidR="00394201" w:rsidRDefault="002E2042">
      <w:pPr>
        <w:pStyle w:val="af"/>
        <w:snapToGrid w:val="0"/>
        <w:spacing w:before="180" w:line="312" w:lineRule="auto"/>
        <w:ind w:leftChars="0"/>
        <w:jc w:val="both"/>
        <w:outlineLvl w:val="3"/>
        <w:rPr>
          <w:rFonts w:ascii="FangSong" w:eastAsia="FangSong" w:hAnsi="FangSong" w:cs="Times New Roman"/>
          <w:bCs/>
          <w:snapToGrid w:val="0"/>
          <w:kern w:val="24"/>
          <w:sz w:val="28"/>
          <w:szCs w:val="24"/>
          <w:lang w:eastAsia="zh-CN"/>
        </w:rPr>
      </w:pPr>
      <w:r>
        <w:rPr>
          <w:rFonts w:ascii="FangSong" w:eastAsia="FangSong" w:hAnsi="FangSong" w:cs="Times New Roman" w:hint="eastAsia"/>
          <w:b/>
          <w:bCs/>
          <w:snapToGrid w:val="0"/>
          <w:kern w:val="24"/>
          <w:sz w:val="28"/>
          <w:szCs w:val="24"/>
          <w:lang w:eastAsia="zh-CN"/>
        </w:rPr>
        <w:t>5. 市场反应：</w:t>
      </w:r>
      <w:r>
        <w:rPr>
          <w:rFonts w:ascii="FangSong" w:eastAsia="FangSong" w:hAnsi="FangSong" w:cs="Times New Roman" w:hint="eastAsia"/>
          <w:b w:val="0"/>
          <w:bCs/>
          <w:snapToGrid w:val="0"/>
          <w:kern w:val="24"/>
          <w:sz w:val="28"/>
          <w:szCs w:val="24"/>
          <w:lang w:eastAsia="zh-CN"/>
        </w:rPr>
        <w:t>按公开交易数据，业绩发布前一交易日2月23日收盘价为5.13港元，后一交易日2月25日收盘价为5.30港元，上涨3.3%。</w:t>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p>
    <w:p w14:paraId="47F3CC3F" w14:textId="77777777" w:rsidR="00394201" w:rsidRDefault="002E2042">
      <w:pPr>
        <w:pStyle w:val="af"/>
        <w:spacing w:before="180" w:line="312" w:lineRule="auto"/>
        <w:ind w:leftChars="0"/>
        <w:jc w:val="both"/>
        <w:rPr>
          <w:rFonts w:ascii="Times New Roman" w:eastAsia="FangSong_GB2312" w:hAnsi="Times New Roman" w:cs="Times New Roman"/>
          <w:b/>
          <w:sz w:val="32"/>
          <w:szCs w:val="32"/>
          <w:lang w:eastAsia="zh-CN"/>
        </w:rPr>
      </w:pPr>
      <w:r>
        <w:rPr>
          <w:rFonts w:ascii="Times New Roman" w:eastAsia="FangSong_GB2312" w:hAnsi="Times New Roman" w:cs="Times New Roman" w:hint="eastAsia"/>
          <w:b/>
          <w:sz w:val="32"/>
          <w:szCs w:val="32"/>
          <w:lang w:eastAsia="zh-CN"/>
        </w:rPr>
        <w:t>HKBN（2026财年中期业绩4月24日）关键摘要</w:t>
      </w:r>
      <w:r>
        <w:rPr>
          <w:rFonts w:ascii="Times New Roman" w:eastAsia="FangSong_GB2312" w:hAnsi="Times New Roman" w:cs="Times New Roman"/>
          <w:b/>
          <w:sz w:val="32"/>
          <w:szCs w:val="32"/>
          <w:lang w:eastAsia="zh-CN"/>
        </w:rPr>
      </w:r>
      <w:r>
        <w:rPr>
          <w:rFonts w:ascii="Times New Roman" w:eastAsia="FangSong_GB2312" w:hAnsi="Times New Roman" w:cs="Times New Roman" w:hint="eastAsia"/>
          <w:b/>
          <w:sz w:val="32"/>
          <w:szCs w:val="32"/>
          <w:lang w:eastAsia="zh-CN"/>
        </w:rPr>
      </w:r>
      <w:r>
        <w:rPr>
          <w:rFonts w:ascii="Times New Roman" w:eastAsia="FangSong_GB2312" w:hAnsi="Times New Roman" w:cs="Times New Roman" w:hint="eastAsia"/>
          <w:b/>
          <w:sz w:val="32"/>
          <w:szCs w:val="32"/>
          <w:lang w:eastAsia="zh-CN"/>
        </w:rPr>
      </w:r>
      <w:r>
        <w:rPr>
          <w:rFonts w:ascii="Times New Roman" w:eastAsia="FangSong_GB2312" w:hAnsi="Times New Roman" w:cs="Times New Roman"/>
          <w:b/>
          <w:sz w:val="32"/>
          <w:szCs w:val="32"/>
          <w:lang w:eastAsia="zh-CN"/>
        </w:rPr>
      </w:r>
      <w:r>
        <w:rPr>
          <w:rFonts w:ascii="Times New Roman" w:eastAsia="FangSong_GB2312" w:hAnsi="Times New Roman" w:cs="Times New Roman" w:hint="eastAsia"/>
          <w:b/>
          <w:sz w:val="32"/>
          <w:szCs w:val="32"/>
          <w:lang w:eastAsia="zh-CN"/>
        </w:rPr>
      </w:r>
    </w:p>
    <w:p w14:paraId="6EEF6141" w14:textId="77777777" w:rsidR="00394201" w:rsidRDefault="002E2042">
      <w:pPr>
        <w:pStyle w:val="af"/>
        <w:snapToGrid w:val="0"/>
        <w:spacing w:before="180" w:line="312" w:lineRule="auto"/>
        <w:ind w:leftChars="0"/>
        <w:jc w:val="both"/>
        <w:outlineLvl w:val="3"/>
        <w:rPr>
          <w:rFonts w:ascii="FangSong" w:eastAsia="FangSong" w:hAnsi="FangSong" w:cs="Times New Roman"/>
          <w:bCs/>
          <w:snapToGrid w:val="0"/>
          <w:kern w:val="24"/>
          <w:sz w:val="28"/>
          <w:szCs w:val="24"/>
          <w:lang w:eastAsia="zh-CN"/>
        </w:rPr>
      </w:pPr>
      <w:r>
        <w:rPr>
          <w:rFonts w:ascii="FangSong" w:eastAsia="FangSong" w:hAnsi="FangSong" w:cs="Times New Roman" w:hint="eastAsia"/>
          <w:b/>
          <w:bCs/>
          <w:snapToGrid w:val="0"/>
          <w:kern w:val="24"/>
          <w:sz w:val="28"/>
          <w:szCs w:val="24"/>
          <w:lang w:eastAsia="zh-CN"/>
        </w:rPr>
        <w:t>1. 派息：</w:t>
      </w:r>
      <w:r>
        <w:rPr>
          <w:rFonts w:ascii="FangSong" w:eastAsia="FangSong" w:hAnsi="FangSong" w:cs="Times New Roman" w:hint="eastAsia"/>
          <w:b w:val="0"/>
          <w:bCs/>
          <w:snapToGrid w:val="0"/>
          <w:kern w:val="24"/>
          <w:sz w:val="28"/>
          <w:szCs w:val="24"/>
          <w:lang w:eastAsia="zh-CN"/>
        </w:rPr>
        <w:t>2026财年中期分派每股0.155港元，与上年同期持平。</w:t>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p>
    <w:p w14:paraId="6EEF6141" w14:textId="77777777" w:rsidR="00394201" w:rsidRDefault="002E2042">
      <w:pPr>
        <w:pStyle w:val="af"/>
        <w:snapToGrid w:val="0"/>
        <w:spacing w:before="180" w:line="312" w:lineRule="auto"/>
        <w:ind w:leftChars="0"/>
        <w:jc w:val="both"/>
        <w:outlineLvl w:val="3"/>
        <w:rPr>
          <w:rFonts w:ascii="FangSong" w:eastAsia="FangSong" w:hAnsi="FangSong" w:cs="Times New Roman"/>
          <w:bCs/>
          <w:snapToGrid w:val="0"/>
          <w:kern w:val="24"/>
          <w:sz w:val="28"/>
          <w:szCs w:val="24"/>
          <w:lang w:eastAsia="zh-CN"/>
        </w:rPr>
      </w:pPr>
      <w:r>
        <w:rPr>
          <w:rFonts w:ascii="FangSong" w:eastAsia="FangSong" w:hAnsi="FangSong" w:cs="Times New Roman" w:hint="eastAsia"/>
          <w:b/>
          <w:bCs/>
          <w:snapToGrid w:val="0"/>
          <w:kern w:val="24"/>
          <w:sz w:val="28"/>
          <w:szCs w:val="24"/>
          <w:lang w:eastAsia="zh-CN"/>
        </w:rPr>
        <w:t>2. 资本开支：</w:t>
      </w:r>
      <w:r>
        <w:rPr>
          <w:rFonts w:ascii="FangSong" w:eastAsia="FangSong" w:hAnsi="FangSong" w:cs="Times New Roman" w:hint="eastAsia"/>
          <w:b w:val="0"/>
          <w:bCs/>
          <w:snapToGrid w:val="0"/>
          <w:kern w:val="24"/>
          <w:sz w:val="28"/>
          <w:szCs w:val="24"/>
          <w:lang w:eastAsia="zh-CN"/>
        </w:rPr>
        <w:t>2026财年上半年资本开支2.70亿港元，同比增加13%；继续投入企业方案、住宅光纤升级和AI融合能力。</w:t>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p>
    <w:p w14:paraId="6EEF6141" w14:textId="77777777" w:rsidR="00394201" w:rsidRDefault="002E2042">
      <w:pPr>
        <w:pStyle w:val="af"/>
        <w:snapToGrid w:val="0"/>
        <w:spacing w:before="180" w:line="312" w:lineRule="auto"/>
        <w:ind w:leftChars="0"/>
        <w:jc w:val="both"/>
        <w:outlineLvl w:val="3"/>
        <w:rPr>
          <w:rFonts w:ascii="FangSong" w:eastAsia="FangSong" w:hAnsi="FangSong" w:cs="Times New Roman"/>
          <w:bCs/>
          <w:snapToGrid w:val="0"/>
          <w:kern w:val="24"/>
          <w:sz w:val="28"/>
          <w:szCs w:val="24"/>
          <w:lang w:eastAsia="zh-CN"/>
        </w:rPr>
      </w:pPr>
      <w:r>
        <w:rPr>
          <w:rFonts w:ascii="FangSong" w:eastAsia="FangSong" w:hAnsi="FangSong" w:cs="Times New Roman" w:hint="eastAsia"/>
          <w:b/>
          <w:bCs/>
          <w:snapToGrid w:val="0"/>
          <w:kern w:val="24"/>
          <w:sz w:val="28"/>
          <w:szCs w:val="24"/>
          <w:lang w:eastAsia="zh-CN"/>
        </w:rPr>
        <w:t>3. 战略升级：</w:t>
      </w:r>
      <w:r>
        <w:rPr>
          <w:rFonts w:ascii="FangSong" w:eastAsia="FangSong" w:hAnsi="FangSong" w:cs="Times New Roman" w:hint="eastAsia"/>
          <w:b w:val="0"/>
          <w:bCs/>
          <w:snapToGrid w:val="0"/>
          <w:kern w:val="24"/>
          <w:sz w:val="28"/>
          <w:szCs w:val="24"/>
          <w:lang w:eastAsia="zh-CN"/>
        </w:rPr>
        <w:t>2026财年上半年收益60.29亿港元，同比增长5.1%；核心服务收益增长8%；EBITDA为12.57亿港元，同比增长4.2%；净利润1.08亿港元。企业解决方案和“光纤进、铜线退”网络升级是重点。</w:t>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p>
    <w:p w14:paraId="6EEF6141" w14:textId="77777777" w:rsidR="00394201" w:rsidRDefault="002E2042">
      <w:pPr>
        <w:pStyle w:val="af"/>
        <w:snapToGrid w:val="0"/>
        <w:spacing w:before="180" w:line="312" w:lineRule="auto"/>
        <w:ind w:leftChars="0"/>
        <w:jc w:val="both"/>
        <w:outlineLvl w:val="3"/>
        <w:rPr>
          <w:rFonts w:ascii="FangSong" w:eastAsia="FangSong" w:hAnsi="FangSong" w:cs="Times New Roman"/>
          <w:bCs/>
          <w:snapToGrid w:val="0"/>
          <w:kern w:val="24"/>
          <w:sz w:val="28"/>
          <w:szCs w:val="24"/>
          <w:lang w:eastAsia="zh-CN"/>
        </w:rPr>
      </w:pPr>
      <w:r>
        <w:rPr>
          <w:rFonts w:ascii="FangSong" w:eastAsia="FangSong" w:hAnsi="FangSong" w:cs="Times New Roman" w:hint="eastAsia"/>
          <w:b/>
          <w:bCs/>
          <w:snapToGrid w:val="0"/>
          <w:kern w:val="24"/>
          <w:sz w:val="28"/>
          <w:szCs w:val="24"/>
          <w:lang w:eastAsia="zh-CN"/>
        </w:rPr>
        <w:t>4. 券商观点：公开市场分析页面给出约6.50港元的一年目标价；正式报告应继续接入授权研报源复核。市场关注AI与光纤升级投入、整合价值兑现及融资成本改善。</w:t>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p>
    <w:p w14:paraId="6EEF6141" w14:textId="77777777" w:rsidR="00394201" w:rsidRDefault="002E2042">
      <w:pPr>
        <w:pStyle w:val="af"/>
        <w:snapToGrid w:val="0"/>
        <w:spacing w:before="180" w:line="312" w:lineRule="auto"/>
        <w:ind w:leftChars="0"/>
        <w:jc w:val="both"/>
        <w:outlineLvl w:val="3"/>
        <w:rPr>
          <w:rFonts w:ascii="FangSong" w:eastAsia="FangSong" w:hAnsi="FangSong" w:cs="Times New Roman"/>
          <w:bCs/>
          <w:snapToGrid w:val="0"/>
          <w:kern w:val="24"/>
          <w:sz w:val="28"/>
          <w:szCs w:val="24"/>
          <w:lang w:eastAsia="zh-CN"/>
        </w:rPr>
      </w:pPr>
      <w:r>
        <w:rPr>
          <w:rFonts w:ascii="FangSong" w:eastAsia="FangSong" w:hAnsi="FangSong" w:cs="Times New Roman" w:hint="eastAsia"/>
          <w:b/>
          <w:bCs/>
          <w:snapToGrid w:val="0"/>
          <w:kern w:val="24"/>
          <w:sz w:val="28"/>
          <w:szCs w:val="24"/>
          <w:lang w:eastAsia="zh-CN"/>
        </w:rPr>
        <w:t>5. 市场反应：</w:t>
      </w:r>
      <w:r>
        <w:rPr>
          <w:rFonts w:ascii="FangSong" w:eastAsia="FangSong" w:hAnsi="FangSong" w:cs="Times New Roman" w:hint="eastAsia"/>
          <w:b w:val="0"/>
          <w:bCs/>
          <w:snapToGrid w:val="0"/>
          <w:kern w:val="24"/>
          <w:sz w:val="28"/>
          <w:szCs w:val="24"/>
          <w:lang w:eastAsia="zh-CN"/>
        </w:rPr>
        <w:t>按公开交易数据，业绩发布前一交易日4月23日收盘价为8.20港元，后一交易日4月27日收盘价为7.34港元，下跌10.5%。</w:t>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p>
    <w:p w14:paraId="47F3CC3F" w14:textId="77777777" w:rsidR="00394201" w:rsidRDefault="002E2042">
      <w:pPr>
        <w:pStyle w:val="af"/>
        <w:spacing w:before="180" w:line="312" w:lineRule="auto"/>
        <w:ind w:leftChars="0"/>
        <w:jc w:val="both"/>
        <w:rPr>
          <w:rFonts w:ascii="Times New Roman" w:eastAsia="FangSong_GB2312" w:hAnsi="Times New Roman" w:cs="Times New Roman"/>
          <w:b/>
          <w:sz w:val="32"/>
          <w:szCs w:val="32"/>
          <w:lang w:eastAsia="zh-CN"/>
        </w:rPr>
      </w:pPr>
      <w:r>
        <w:rPr>
          <w:rFonts w:ascii="Times New Roman" w:eastAsia="FangSong_GB2312" w:hAnsi="Times New Roman" w:cs="Times New Roman" w:hint="eastAsia"/>
          <w:b/>
          <w:sz w:val="32"/>
          <w:szCs w:val="32"/>
          <w:lang w:eastAsia="zh-CN"/>
        </w:rPr>
        <w:t>HGC（企业转型动态持续更新）关键摘要</w:t>
      </w:r>
      <w:r>
        <w:rPr>
          <w:rFonts w:ascii="Times New Roman" w:eastAsia="FangSong_GB2312" w:hAnsi="Times New Roman" w:cs="Times New Roman"/>
          <w:b/>
          <w:sz w:val="32"/>
          <w:szCs w:val="32"/>
          <w:lang w:eastAsia="zh-CN"/>
        </w:rPr>
      </w:r>
      <w:r>
        <w:rPr>
          <w:rFonts w:ascii="Times New Roman" w:eastAsia="FangSong_GB2312" w:hAnsi="Times New Roman" w:cs="Times New Roman" w:hint="eastAsia"/>
          <w:b/>
          <w:sz w:val="32"/>
          <w:szCs w:val="32"/>
          <w:lang w:eastAsia="zh-CN"/>
        </w:rPr>
      </w:r>
      <w:r>
        <w:rPr>
          <w:rFonts w:ascii="Times New Roman" w:eastAsia="FangSong_GB2312" w:hAnsi="Times New Roman" w:cs="Times New Roman" w:hint="eastAsia"/>
          <w:b/>
          <w:sz w:val="32"/>
          <w:szCs w:val="32"/>
          <w:lang w:eastAsia="zh-CN"/>
        </w:rPr>
      </w:r>
      <w:r>
        <w:rPr>
          <w:rFonts w:ascii="Times New Roman" w:eastAsia="FangSong_GB2312" w:hAnsi="Times New Roman" w:cs="Times New Roman"/>
          <w:b/>
          <w:sz w:val="32"/>
          <w:szCs w:val="32"/>
          <w:lang w:eastAsia="zh-CN"/>
        </w:rPr>
      </w:r>
      <w:r>
        <w:rPr>
          <w:rFonts w:ascii="Times New Roman" w:eastAsia="FangSong_GB2312" w:hAnsi="Times New Roman" w:cs="Times New Roman" w:hint="eastAsia"/>
          <w:b/>
          <w:sz w:val="32"/>
          <w:szCs w:val="32"/>
          <w:lang w:eastAsia="zh-CN"/>
        </w:rPr>
      </w:r>
    </w:p>
    <w:p w14:paraId="6EEF6141" w14:textId="77777777" w:rsidR="00394201" w:rsidRDefault="002E2042">
      <w:pPr>
        <w:pStyle w:val="af"/>
        <w:snapToGrid w:val="0"/>
        <w:spacing w:before="180" w:line="312" w:lineRule="auto"/>
        <w:ind w:leftChars="0"/>
        <w:jc w:val="both"/>
        <w:outlineLvl w:val="3"/>
        <w:rPr>
          <w:rFonts w:ascii="FangSong" w:eastAsia="FangSong" w:hAnsi="FangSong" w:cs="Times New Roman"/>
          <w:bCs/>
          <w:snapToGrid w:val="0"/>
          <w:kern w:val="24"/>
          <w:sz w:val="28"/>
          <w:szCs w:val="24"/>
          <w:lang w:eastAsia="zh-CN"/>
        </w:rPr>
      </w:pPr>
      <w:r>
        <w:rPr>
          <w:rFonts w:ascii="FangSong" w:eastAsia="FangSong" w:hAnsi="FangSong" w:cs="Times New Roman" w:hint="eastAsia"/>
          <w:b/>
          <w:bCs/>
          <w:snapToGrid w:val="0"/>
          <w:kern w:val="24"/>
          <w:sz w:val="28"/>
          <w:szCs w:val="24"/>
          <w:lang w:eastAsia="zh-CN"/>
        </w:rPr>
        <w:t>1. 派息：</w:t>
      </w:r>
      <w:r>
        <w:rPr>
          <w:rFonts w:ascii="FangSong" w:eastAsia="FangSong" w:hAnsi="FangSong" w:cs="Times New Roman" w:hint="eastAsia"/>
          <w:b w:val="0"/>
          <w:bCs/>
          <w:snapToGrid w:val="0"/>
          <w:kern w:val="24"/>
          <w:sz w:val="28"/>
          <w:szCs w:val="24"/>
          <w:lang w:eastAsia="zh-CN"/>
        </w:rPr>
        <w:t>不适用：HGC为非上市主体，未公开披露派息口径。</w:t>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p>
    <w:p w14:paraId="6EEF6141" w14:textId="77777777" w:rsidR="00394201" w:rsidRDefault="002E2042">
      <w:pPr>
        <w:pStyle w:val="af"/>
        <w:snapToGrid w:val="0"/>
        <w:spacing w:before="180" w:line="312" w:lineRule="auto"/>
        <w:ind w:leftChars="0"/>
        <w:jc w:val="both"/>
        <w:outlineLvl w:val="3"/>
        <w:rPr>
          <w:rFonts w:ascii="FangSong" w:eastAsia="FangSong" w:hAnsi="FangSong" w:cs="Times New Roman"/>
          <w:bCs/>
          <w:snapToGrid w:val="0"/>
          <w:kern w:val="24"/>
          <w:sz w:val="28"/>
          <w:szCs w:val="24"/>
          <w:lang w:eastAsia="zh-CN"/>
        </w:rPr>
      </w:pPr>
      <w:r>
        <w:rPr>
          <w:rFonts w:ascii="FangSong" w:eastAsia="FangSong" w:hAnsi="FangSong" w:cs="Times New Roman" w:hint="eastAsia"/>
          <w:b/>
          <w:bCs/>
          <w:snapToGrid w:val="0"/>
          <w:kern w:val="24"/>
          <w:sz w:val="28"/>
          <w:szCs w:val="24"/>
          <w:lang w:eastAsia="zh-CN"/>
        </w:rPr>
        <w:t>2. 资本开支：</w:t>
      </w:r>
      <w:r>
        <w:rPr>
          <w:rFonts w:ascii="FangSong" w:eastAsia="FangSong" w:hAnsi="FangSong" w:cs="Times New Roman" w:hint="eastAsia"/>
          <w:b w:val="0"/>
          <w:bCs/>
          <w:snapToGrid w:val="0"/>
          <w:kern w:val="24"/>
          <w:sz w:val="28"/>
          <w:szCs w:val="24"/>
          <w:lang w:eastAsia="zh-CN"/>
        </w:rPr>
        <w:t>未公开披露统一资本开支金额；公开资料显示持续投入数据中心互联、云通信、网络服务和跨境连接能力。</w:t>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p>
    <w:p w14:paraId="6EEF6141" w14:textId="77777777" w:rsidR="00394201" w:rsidRDefault="002E2042">
      <w:pPr>
        <w:pStyle w:val="af"/>
        <w:snapToGrid w:val="0"/>
        <w:spacing w:before="180" w:line="312" w:lineRule="auto"/>
        <w:ind w:leftChars="0"/>
        <w:jc w:val="both"/>
        <w:outlineLvl w:val="3"/>
        <w:rPr>
          <w:rFonts w:ascii="FangSong" w:eastAsia="FangSong" w:hAnsi="FangSong" w:cs="Times New Roman"/>
          <w:bCs/>
          <w:snapToGrid w:val="0"/>
          <w:kern w:val="24"/>
          <w:sz w:val="28"/>
          <w:szCs w:val="24"/>
          <w:lang w:eastAsia="zh-CN"/>
        </w:rPr>
      </w:pPr>
      <w:r>
        <w:rPr>
          <w:rFonts w:ascii="FangSong" w:eastAsia="FangSong" w:hAnsi="FangSong" w:cs="Times New Roman" w:hint="eastAsia"/>
          <w:b/>
          <w:bCs/>
          <w:snapToGrid w:val="0"/>
          <w:kern w:val="24"/>
          <w:sz w:val="28"/>
          <w:szCs w:val="24"/>
          <w:lang w:eastAsia="zh-CN"/>
        </w:rPr>
        <w:t>3. 战略升级：</w:t>
      </w:r>
      <w:r>
        <w:rPr>
          <w:rFonts w:ascii="FangSong" w:eastAsia="FangSong" w:hAnsi="FangSong" w:cs="Times New Roman" w:hint="eastAsia"/>
          <w:b w:val="0"/>
          <w:bCs/>
          <w:snapToGrid w:val="0"/>
          <w:kern w:val="24"/>
          <w:sz w:val="28"/>
          <w:szCs w:val="24"/>
          <w:lang w:eastAsia="zh-CN"/>
        </w:rPr>
        <w:t>围绕企业通信、数据中心互联、云、安全和跨境连接推进转型。</w:t>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p>
    <w:p w14:paraId="6EEF6141" w14:textId="77777777" w:rsidR="00394201" w:rsidRDefault="002E2042">
      <w:pPr>
        <w:pStyle w:val="af"/>
        <w:snapToGrid w:val="0"/>
        <w:spacing w:before="180" w:line="312" w:lineRule="auto"/>
        <w:ind w:leftChars="0"/>
        <w:jc w:val="both"/>
        <w:outlineLvl w:val="3"/>
        <w:rPr>
          <w:rFonts w:ascii="FangSong" w:eastAsia="FangSong" w:hAnsi="FangSong" w:cs="Times New Roman"/>
          <w:bCs/>
          <w:snapToGrid w:val="0"/>
          <w:kern w:val="24"/>
          <w:sz w:val="28"/>
          <w:szCs w:val="24"/>
          <w:lang w:eastAsia="zh-CN"/>
        </w:rPr>
      </w:pPr>
      <w:r>
        <w:rPr>
          <w:rFonts w:ascii="FangSong" w:eastAsia="FangSong" w:hAnsi="FangSong" w:cs="Times New Roman" w:hint="eastAsia"/>
          <w:b/>
          <w:bCs/>
          <w:snapToGrid w:val="0"/>
          <w:kern w:val="24"/>
          <w:sz w:val="28"/>
          <w:szCs w:val="24"/>
          <w:lang w:eastAsia="zh-CN"/>
        </w:rPr>
        <w:t>4. 券商观点：不适用：非上市主体，暂无公开券商评级口径。</w:t>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p>
    <w:p w14:paraId="6EEF6141" w14:textId="77777777" w:rsidR="00394201" w:rsidRDefault="002E2042">
      <w:pPr>
        <w:pStyle w:val="af"/>
        <w:snapToGrid w:val="0"/>
        <w:spacing w:before="180" w:line="312" w:lineRule="auto"/>
        <w:ind w:leftChars="0"/>
        <w:jc w:val="both"/>
        <w:outlineLvl w:val="3"/>
        <w:rPr>
          <w:rFonts w:ascii="FangSong" w:eastAsia="FangSong" w:hAnsi="FangSong" w:cs="Times New Roman"/>
          <w:bCs/>
          <w:snapToGrid w:val="0"/>
          <w:kern w:val="24"/>
          <w:sz w:val="28"/>
          <w:szCs w:val="24"/>
          <w:lang w:eastAsia="zh-CN"/>
        </w:rPr>
      </w:pPr>
      <w:r>
        <w:rPr>
          <w:rFonts w:ascii="FangSong" w:eastAsia="FangSong" w:hAnsi="FangSong" w:cs="Times New Roman" w:hint="eastAsia"/>
          <w:b/>
          <w:bCs/>
          <w:snapToGrid w:val="0"/>
          <w:kern w:val="24"/>
          <w:sz w:val="28"/>
          <w:szCs w:val="24"/>
          <w:lang w:eastAsia="zh-CN"/>
        </w:rPr>
        <w:t>5. 市场反应：</w:t>
      </w:r>
      <w:r>
        <w:rPr>
          <w:rFonts w:ascii="FangSong" w:eastAsia="FangSong" w:hAnsi="FangSong" w:cs="Times New Roman" w:hint="eastAsia"/>
          <w:b w:val="0"/>
          <w:bCs/>
          <w:snapToGrid w:val="0"/>
          <w:kern w:val="24"/>
          <w:sz w:val="28"/>
          <w:szCs w:val="24"/>
          <w:lang w:eastAsia="zh-CN"/>
        </w:rPr>
        <w:t>不适用：非上市主体，不存在独立公开股票交易表现。</w:t>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p>
    <w:p w14:paraId="47F3CC3F" w14:textId="77777777" w:rsidR="00394201" w:rsidRDefault="002E2042">
      <w:pPr>
        <w:pStyle w:val="af"/>
        <w:spacing w:before="180" w:line="312" w:lineRule="auto"/>
        <w:ind w:leftChars="0"/>
        <w:jc w:val="both"/>
        <w:rPr>
          <w:rFonts w:ascii="Times New Roman" w:eastAsia="FangSong_GB2312" w:hAnsi="Times New Roman" w:cs="Times New Roman"/>
          <w:b/>
          <w:sz w:val="32"/>
          <w:szCs w:val="32"/>
          <w:lang w:eastAsia="zh-CN"/>
        </w:rPr>
      </w:pPr>
      <w:r>
        <w:rPr>
          <w:rFonts w:ascii="Times New Roman" w:eastAsia="FangSong_GB2312" w:hAnsi="Times New Roman" w:cs="Times New Roman" w:hint="eastAsia"/>
          <w:b/>
          <w:sz w:val="32"/>
          <w:szCs w:val="32"/>
          <w:lang w:eastAsia="zh-CN"/>
        </w:rPr>
        <w:t>i-CABLE（2025年度业绩3月27日）关键摘要</w:t>
      </w:r>
      <w:r>
        <w:rPr>
          <w:rFonts w:ascii="Times New Roman" w:eastAsia="FangSong_GB2312" w:hAnsi="Times New Roman" w:cs="Times New Roman"/>
          <w:b/>
          <w:sz w:val="32"/>
          <w:szCs w:val="32"/>
          <w:lang w:eastAsia="zh-CN"/>
        </w:rPr>
      </w:r>
      <w:r>
        <w:rPr>
          <w:rFonts w:ascii="Times New Roman" w:eastAsia="FangSong_GB2312" w:hAnsi="Times New Roman" w:cs="Times New Roman" w:hint="eastAsia"/>
          <w:b/>
          <w:sz w:val="32"/>
          <w:szCs w:val="32"/>
          <w:lang w:eastAsia="zh-CN"/>
        </w:rPr>
      </w:r>
      <w:r>
        <w:rPr>
          <w:rFonts w:ascii="Times New Roman" w:eastAsia="FangSong_GB2312" w:hAnsi="Times New Roman" w:cs="Times New Roman" w:hint="eastAsia"/>
          <w:b/>
          <w:sz w:val="32"/>
          <w:szCs w:val="32"/>
          <w:lang w:eastAsia="zh-CN"/>
        </w:rPr>
      </w:r>
      <w:r>
        <w:rPr>
          <w:rFonts w:ascii="Times New Roman" w:eastAsia="FangSong_GB2312" w:hAnsi="Times New Roman" w:cs="Times New Roman"/>
          <w:b/>
          <w:sz w:val="32"/>
          <w:szCs w:val="32"/>
          <w:lang w:eastAsia="zh-CN"/>
        </w:rPr>
      </w:r>
      <w:r>
        <w:rPr>
          <w:rFonts w:ascii="Times New Roman" w:eastAsia="FangSong_GB2312" w:hAnsi="Times New Roman" w:cs="Times New Roman" w:hint="eastAsia"/>
          <w:b/>
          <w:sz w:val="32"/>
          <w:szCs w:val="32"/>
          <w:lang w:eastAsia="zh-CN"/>
        </w:rPr>
      </w:r>
    </w:p>
    <w:p w14:paraId="6EEF6141" w14:textId="77777777" w:rsidR="00394201" w:rsidRDefault="002E2042">
      <w:pPr>
        <w:pStyle w:val="af"/>
        <w:snapToGrid w:val="0"/>
        <w:spacing w:before="180" w:line="312" w:lineRule="auto"/>
        <w:ind w:leftChars="0"/>
        <w:jc w:val="both"/>
        <w:outlineLvl w:val="3"/>
        <w:rPr>
          <w:rFonts w:ascii="FangSong" w:eastAsia="FangSong" w:hAnsi="FangSong" w:cs="Times New Roman"/>
          <w:bCs/>
          <w:snapToGrid w:val="0"/>
          <w:kern w:val="24"/>
          <w:sz w:val="28"/>
          <w:szCs w:val="24"/>
          <w:lang w:eastAsia="zh-CN"/>
        </w:rPr>
      </w:pPr>
      <w:r>
        <w:rPr>
          <w:rFonts w:ascii="FangSong" w:eastAsia="FangSong" w:hAnsi="FangSong" w:cs="Times New Roman" w:hint="eastAsia"/>
          <w:b/>
          <w:bCs/>
          <w:snapToGrid w:val="0"/>
          <w:kern w:val="24"/>
          <w:sz w:val="28"/>
          <w:szCs w:val="24"/>
          <w:lang w:eastAsia="zh-CN"/>
        </w:rPr>
        <w:t>1. 派息：</w:t>
      </w:r>
      <w:r>
        <w:rPr>
          <w:rFonts w:ascii="FangSong" w:eastAsia="FangSong" w:hAnsi="FangSong" w:cs="Times New Roman" w:hint="eastAsia"/>
          <w:b w:val="0"/>
          <w:bCs/>
          <w:snapToGrid w:val="0"/>
          <w:kern w:val="24"/>
          <w:sz w:val="28"/>
          <w:szCs w:val="24"/>
          <w:lang w:eastAsia="zh-CN"/>
        </w:rPr>
        <w:t>董事会不建议派发2025年度末期股息。</w:t>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p>
    <w:p w14:paraId="6EEF6141" w14:textId="77777777" w:rsidR="00394201" w:rsidRDefault="002E2042">
      <w:pPr>
        <w:pStyle w:val="af"/>
        <w:snapToGrid w:val="0"/>
        <w:spacing w:before="180" w:line="312" w:lineRule="auto"/>
        <w:ind w:leftChars="0"/>
        <w:jc w:val="both"/>
        <w:outlineLvl w:val="3"/>
        <w:rPr>
          <w:rFonts w:ascii="FangSong" w:eastAsia="FangSong" w:hAnsi="FangSong" w:cs="Times New Roman"/>
          <w:bCs/>
          <w:snapToGrid w:val="0"/>
          <w:kern w:val="24"/>
          <w:sz w:val="28"/>
          <w:szCs w:val="24"/>
          <w:lang w:eastAsia="zh-CN"/>
        </w:rPr>
      </w:pPr>
      <w:r>
        <w:rPr>
          <w:rFonts w:ascii="FangSong" w:eastAsia="FangSong" w:hAnsi="FangSong" w:cs="Times New Roman" w:hint="eastAsia"/>
          <w:b/>
          <w:bCs/>
          <w:snapToGrid w:val="0"/>
          <w:kern w:val="24"/>
          <w:sz w:val="28"/>
          <w:szCs w:val="24"/>
          <w:lang w:eastAsia="zh-CN"/>
        </w:rPr>
        <w:t>2. 资本开支：</w:t>
      </w:r>
      <w:r>
        <w:rPr>
          <w:rFonts w:ascii="FangSong" w:eastAsia="FangSong" w:hAnsi="FangSong" w:cs="Times New Roman" w:hint="eastAsia"/>
          <w:b w:val="0"/>
          <w:bCs/>
          <w:snapToGrid w:val="0"/>
          <w:kern w:val="24"/>
          <w:sz w:val="28"/>
          <w:szCs w:val="24"/>
          <w:lang w:eastAsia="zh-CN"/>
        </w:rPr>
        <w:t>2025年度业绩公告未单独列示统一资本开支金额；截至2025年12月31日，物业、厂房及设备已订约但未拨备资本承担为56万港元，节目库资本承担为1025.5万港元。</w:t>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p>
    <w:p w14:paraId="6EEF6141" w14:textId="77777777" w:rsidR="00394201" w:rsidRDefault="002E2042">
      <w:pPr>
        <w:pStyle w:val="af"/>
        <w:snapToGrid w:val="0"/>
        <w:spacing w:before="180" w:line="312" w:lineRule="auto"/>
        <w:ind w:leftChars="0"/>
        <w:jc w:val="both"/>
        <w:outlineLvl w:val="3"/>
        <w:rPr>
          <w:rFonts w:ascii="FangSong" w:eastAsia="FangSong" w:hAnsi="FangSong" w:cs="Times New Roman"/>
          <w:bCs/>
          <w:snapToGrid w:val="0"/>
          <w:kern w:val="24"/>
          <w:sz w:val="28"/>
          <w:szCs w:val="24"/>
          <w:lang w:eastAsia="zh-CN"/>
        </w:rPr>
      </w:pPr>
      <w:r>
        <w:rPr>
          <w:rFonts w:ascii="FangSong" w:eastAsia="FangSong" w:hAnsi="FangSong" w:cs="Times New Roman" w:hint="eastAsia"/>
          <w:b/>
          <w:bCs/>
          <w:snapToGrid w:val="0"/>
          <w:kern w:val="24"/>
          <w:sz w:val="28"/>
          <w:szCs w:val="24"/>
          <w:lang w:eastAsia="zh-CN"/>
        </w:rPr>
        <w:t>3. 战略升级：</w:t>
      </w:r>
      <w:r>
        <w:rPr>
          <w:rFonts w:ascii="FangSong" w:eastAsia="FangSong" w:hAnsi="FangSong" w:cs="Times New Roman" w:hint="eastAsia"/>
          <w:b w:val="0"/>
          <w:bCs/>
          <w:snapToGrid w:val="0"/>
          <w:kern w:val="24"/>
          <w:sz w:val="28"/>
          <w:szCs w:val="24"/>
          <w:lang w:eastAsia="zh-CN"/>
        </w:rPr>
        <w:t>2025年收益5.39亿港元，同比下降7.8%；年度亏损4.90亿港元，较上年亏损5.53亿港元收窄。电讯业务收入约3.42亿港元，同比下降约6%，但电讯分部扣除折旧、摊销及减值前利润同比增加约11%。</w:t>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p>
    <w:p w14:paraId="6EEF6141" w14:textId="77777777" w:rsidR="00394201" w:rsidRDefault="002E2042">
      <w:pPr>
        <w:pStyle w:val="af"/>
        <w:snapToGrid w:val="0"/>
        <w:spacing w:before="180" w:line="312" w:lineRule="auto"/>
        <w:ind w:leftChars="0"/>
        <w:jc w:val="both"/>
        <w:outlineLvl w:val="3"/>
        <w:rPr>
          <w:rFonts w:ascii="FangSong" w:eastAsia="FangSong" w:hAnsi="FangSong" w:cs="Times New Roman"/>
          <w:bCs/>
          <w:snapToGrid w:val="0"/>
          <w:kern w:val="24"/>
          <w:sz w:val="28"/>
          <w:szCs w:val="24"/>
          <w:lang w:eastAsia="zh-CN"/>
        </w:rPr>
      </w:pPr>
      <w:r>
        <w:rPr>
          <w:rFonts w:ascii="FangSong" w:eastAsia="FangSong" w:hAnsi="FangSong" w:cs="Times New Roman" w:hint="eastAsia"/>
          <w:b/>
          <w:bCs/>
          <w:snapToGrid w:val="0"/>
          <w:kern w:val="24"/>
          <w:sz w:val="28"/>
          <w:szCs w:val="24"/>
          <w:lang w:eastAsia="zh-CN"/>
        </w:rPr>
        <w:t>4. 券商观点：公开检索未发现可稳定抓取且可核验的最新券商评级全文，公开券商覆盖有限。</w:t>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p>
    <w:p w14:paraId="6EEF6141" w14:textId="77777777" w:rsidR="00394201" w:rsidRDefault="002E2042">
      <w:pPr>
        <w:pStyle w:val="af"/>
        <w:snapToGrid w:val="0"/>
        <w:spacing w:before="180" w:line="312" w:lineRule="auto"/>
        <w:ind w:leftChars="0"/>
        <w:jc w:val="both"/>
        <w:outlineLvl w:val="3"/>
        <w:rPr>
          <w:rFonts w:ascii="FangSong" w:eastAsia="FangSong" w:hAnsi="FangSong" w:cs="Times New Roman"/>
          <w:bCs/>
          <w:snapToGrid w:val="0"/>
          <w:kern w:val="24"/>
          <w:sz w:val="28"/>
          <w:szCs w:val="24"/>
          <w:lang w:eastAsia="zh-CN"/>
        </w:rPr>
      </w:pPr>
      <w:r>
        <w:rPr>
          <w:rFonts w:ascii="FangSong" w:eastAsia="FangSong" w:hAnsi="FangSong" w:cs="Times New Roman" w:hint="eastAsia"/>
          <w:b/>
          <w:bCs/>
          <w:snapToGrid w:val="0"/>
          <w:kern w:val="24"/>
          <w:sz w:val="28"/>
          <w:szCs w:val="24"/>
          <w:lang w:eastAsia="zh-CN"/>
        </w:rPr>
        <w:t>5. 市场反应：</w:t>
      </w:r>
      <w:r>
        <w:rPr>
          <w:rFonts w:ascii="FangSong" w:eastAsia="FangSong" w:hAnsi="FangSong" w:cs="Times New Roman" w:hint="eastAsia"/>
          <w:b w:val="0"/>
          <w:bCs/>
          <w:snapToGrid w:val="0"/>
          <w:kern w:val="24"/>
          <w:sz w:val="28"/>
          <w:szCs w:val="24"/>
          <w:lang w:eastAsia="zh-CN"/>
        </w:rPr>
        <w:t>按公开交易数据，业绩发布前一交易日3月26日收盘价为0.06港元，后一交易日3月30日收盘价为0.06港元，上涨3.5%。</w:t>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p>
    <w:p w14:paraId="7C7E878F" w14:textId="77777777" w:rsidR="00394201" w:rsidRDefault="00394201">
      <w:pPr>
        <w:pStyle w:val="af"/>
        <w:numPr>
          <w:ilvl w:val="0"/>
          <w:numId w:val="3"/>
        </w:numPr>
        <w:snapToGrid w:val="0"/>
        <w:spacing w:before="180" w:line="312" w:lineRule="auto"/>
        <w:ind w:leftChars="0"/>
        <w:jc w:val="both"/>
        <w:outlineLvl w:val="3"/>
        <w:rPr>
          <w:rFonts w:ascii="FangSong" w:eastAsia="FangSong" w:hAnsi="FangSong" w:cs="Times New Roman"/>
          <w:bCs/>
          <w:snapToGrid w:val="0"/>
          <w:vanish/>
          <w:kern w:val="24"/>
          <w:sz w:val="28"/>
          <w:szCs w:val="24"/>
          <w:lang w:eastAsia="zh-CN"/>
        </w:rPr>
      </w:pPr>
    </w:p>
    <w:p w14:paraId="722B5EAC" w14:textId="77777777" w:rsidR="00394201" w:rsidRDefault="00394201">
      <w:pPr>
        <w:pStyle w:val="af"/>
        <w:numPr>
          <w:ilvl w:val="0"/>
          <w:numId w:val="3"/>
        </w:numPr>
        <w:snapToGrid w:val="0"/>
        <w:spacing w:before="180" w:line="312" w:lineRule="auto"/>
        <w:ind w:leftChars="0"/>
        <w:jc w:val="both"/>
        <w:outlineLvl w:val="3"/>
        <w:rPr>
          <w:rFonts w:ascii="FangSong" w:eastAsia="FangSong" w:hAnsi="FangSong" w:cs="Times New Roman"/>
          <w:bCs/>
          <w:snapToGrid w:val="0"/>
          <w:vanish/>
          <w:kern w:val="24"/>
          <w:sz w:val="28"/>
          <w:szCs w:val="24"/>
          <w:lang w:eastAsia="zh-CN"/>
        </w:rPr>
      </w:pPr>
    </w:p>
    <w:p w14:paraId="022E239F" w14:textId="77777777" w:rsidR="00394201" w:rsidRDefault="00394201">
      <w:pPr>
        <w:pStyle w:val="af"/>
        <w:numPr>
          <w:ilvl w:val="0"/>
          <w:numId w:val="3"/>
        </w:numPr>
        <w:snapToGrid w:val="0"/>
        <w:spacing w:before="180" w:line="312" w:lineRule="auto"/>
        <w:ind w:leftChars="0"/>
        <w:jc w:val="both"/>
        <w:outlineLvl w:val="3"/>
        <w:rPr>
          <w:rFonts w:ascii="FangSong" w:eastAsia="FangSong" w:hAnsi="FangSong" w:cs="Times New Roman"/>
          <w:bCs/>
          <w:snapToGrid w:val="0"/>
          <w:vanish/>
          <w:kern w:val="24"/>
          <w:sz w:val="28"/>
          <w:szCs w:val="24"/>
          <w:lang w:eastAsia="zh-CN"/>
        </w:rPr>
      </w:pPr>
    </w:p>
    <w:p w14:paraId="33994FCA" w14:textId="77777777" w:rsidR="00394201" w:rsidRDefault="00394201">
      <w:pPr>
        <w:pStyle w:val="af"/>
        <w:numPr>
          <w:ilvl w:val="0"/>
          <w:numId w:val="3"/>
        </w:numPr>
        <w:snapToGrid w:val="0"/>
        <w:spacing w:before="180" w:line="312" w:lineRule="auto"/>
        <w:ind w:leftChars="0"/>
        <w:jc w:val="both"/>
        <w:outlineLvl w:val="3"/>
        <w:rPr>
          <w:rFonts w:ascii="FangSong" w:eastAsia="FangSong" w:hAnsi="FangSong" w:cs="Times New Roman"/>
          <w:bCs/>
          <w:snapToGrid w:val="0"/>
          <w:vanish/>
          <w:kern w:val="24"/>
          <w:sz w:val="28"/>
          <w:szCs w:val="24"/>
          <w:lang w:eastAsia="zh-CN"/>
        </w:rPr>
      </w:pPr>
    </w:p>
    <w:p w14:paraId="1D918E5E" w14:textId="77777777" w:rsidR="00394201" w:rsidRDefault="00394201">
      <w:pPr>
        <w:pStyle w:val="af"/>
        <w:numPr>
          <w:ilvl w:val="0"/>
          <w:numId w:val="6"/>
        </w:numPr>
        <w:snapToGrid w:val="0"/>
        <w:spacing w:before="180" w:line="312" w:lineRule="auto"/>
        <w:ind w:leftChars="0"/>
        <w:jc w:val="both"/>
        <w:outlineLvl w:val="3"/>
        <w:rPr>
          <w:rFonts w:ascii="FangSong" w:eastAsia="FangSong" w:hAnsi="FangSong" w:cs="Times New Roman"/>
          <w:bCs/>
          <w:snapToGrid w:val="0"/>
          <w:vanish/>
          <w:kern w:val="24"/>
          <w:sz w:val="28"/>
          <w:szCs w:val="24"/>
          <w:lang w:eastAsia="zh-CN"/>
        </w:rPr>
      </w:pPr>
    </w:p>
    <w:p w14:paraId="0F976EFC" w14:textId="77777777" w:rsidR="00394201" w:rsidRDefault="00394201">
      <w:pPr>
        <w:pStyle w:val="af"/>
        <w:numPr>
          <w:ilvl w:val="0"/>
          <w:numId w:val="6"/>
        </w:numPr>
        <w:snapToGrid w:val="0"/>
        <w:spacing w:before="180" w:line="312" w:lineRule="auto"/>
        <w:ind w:leftChars="0"/>
        <w:jc w:val="both"/>
        <w:outlineLvl w:val="3"/>
        <w:rPr>
          <w:rFonts w:ascii="FangSong" w:eastAsia="FangSong" w:hAnsi="FangSong" w:cs="Times New Roman"/>
          <w:bCs/>
          <w:snapToGrid w:val="0"/>
          <w:vanish/>
          <w:kern w:val="24"/>
          <w:sz w:val="28"/>
          <w:szCs w:val="24"/>
          <w:lang w:eastAsia="zh-CN"/>
        </w:rPr>
      </w:pPr>
    </w:p>
    <w:p w14:paraId="19642B9C" w14:textId="77777777" w:rsidR="00394201" w:rsidRDefault="00394201">
      <w:pPr>
        <w:pStyle w:val="af"/>
        <w:numPr>
          <w:ilvl w:val="0"/>
          <w:numId w:val="6"/>
        </w:numPr>
        <w:snapToGrid w:val="0"/>
        <w:spacing w:before="180" w:line="312" w:lineRule="auto"/>
        <w:ind w:leftChars="0"/>
        <w:jc w:val="both"/>
        <w:outlineLvl w:val="3"/>
        <w:rPr>
          <w:rFonts w:ascii="FangSong" w:eastAsia="FangSong" w:hAnsi="FangSong" w:cs="Times New Roman"/>
          <w:bCs/>
          <w:snapToGrid w:val="0"/>
          <w:vanish/>
          <w:kern w:val="24"/>
          <w:sz w:val="28"/>
          <w:szCs w:val="24"/>
          <w:lang w:eastAsia="zh-CN"/>
        </w:rPr>
      </w:pPr>
    </w:p>
    <w:p w14:paraId="4AD5471D" w14:textId="77777777" w:rsidR="00394201" w:rsidRDefault="00394201">
      <w:pPr>
        <w:pStyle w:val="af"/>
        <w:numPr>
          <w:ilvl w:val="0"/>
          <w:numId w:val="6"/>
        </w:numPr>
        <w:snapToGrid w:val="0"/>
        <w:spacing w:before="180" w:line="312" w:lineRule="auto"/>
        <w:ind w:leftChars="0"/>
        <w:jc w:val="both"/>
        <w:outlineLvl w:val="3"/>
        <w:rPr>
          <w:rFonts w:ascii="FangSong" w:eastAsia="FangSong" w:hAnsi="FangSong" w:cs="Times New Roman"/>
          <w:bCs/>
          <w:snapToGrid w:val="0"/>
          <w:vanish/>
          <w:kern w:val="24"/>
          <w:sz w:val="28"/>
          <w:szCs w:val="24"/>
          <w:lang w:eastAsia="zh-CN"/>
        </w:rPr>
      </w:pPr>
    </w:p>
    <w:p w14:paraId="5A630C49" w14:textId="29031ACB" w:rsidR="00394201" w:rsidRDefault="00394201" w:rsidP="00BA3003">
      <w:pPr>
        <w:pStyle w:val="af"/>
        <w:snapToGrid w:val="0"/>
        <w:spacing w:before="180" w:line="312" w:lineRule="auto"/>
        <w:ind w:leftChars="0"/>
        <w:jc w:val="both"/>
        <w:outlineLvl w:val="3"/>
        <w:rPr>
          <w:rFonts w:ascii="FangSong" w:eastAsia="FangSong" w:hAnsi="FangSong" w:cs="Times New Roman" w:hint="eastAsia"/>
          <w:bCs/>
          <w:snapToGrid w:val="0"/>
          <w:kern w:val="24"/>
          <w:sz w:val="28"/>
          <w:szCs w:val="24"/>
          <w:lang w:eastAsia="zh-CN"/>
        </w:rPr>
      </w:pPr>
      <w:bookmarkStart w:id="3" w:name="_GoBack"/>
      <w:bookmarkEnd w:id="3"/>
    </w:p>
    <w:sectPr w:rsidR="00394201">
      <w:footerReference w:type="default" r:id="rId8"/>
      <w:pgSz w:w="11906" w:h="16838"/>
      <w:pgMar w:top="1440" w:right="1531" w:bottom="1440" w:left="1531"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CBCF131" w14:textId="77777777" w:rsidR="002E2042" w:rsidRDefault="002E2042">
      <w:r>
        <w:separator/>
      </w:r>
    </w:p>
  </w:endnote>
  <w:endnote w:type="continuationSeparator" w:id="0">
    <w:p w14:paraId="7DF90BE5" w14:textId="77777777" w:rsidR="002E2042" w:rsidRDefault="002E204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200247B" w:usb2="00000009" w:usb3="00000000" w:csb0="000001FF" w:csb1="00000000"/>
  </w:font>
  <w:font w:name="FangSong">
    <w:altName w:val="汉仪仿宋KW"/>
    <w:panose1 w:val="02010609060101010101"/>
    <w:charset w:val="86"/>
    <w:family w:val="modern"/>
    <w:pitch w:val="fixed"/>
    <w:sig w:usb0="800002BF" w:usb1="38CF7CFA" w:usb2="00000016" w:usb3="00000000" w:csb0="00040001" w:csb1="00000000"/>
  </w:font>
  <w:font w:name="FangSong_GB2312">
    <w:altName w:val="汉仪仿宋KW"/>
    <w:panose1 w:val="02010609060101010101"/>
    <w:charset w:val="86"/>
    <w:family w:val="modern"/>
    <w:pitch w:val="fixed"/>
    <w:sig w:usb0="00000003" w:usb1="080E0000" w:usb2="00000010"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
    </w:sdtPr>
    <w:sdtEndPr/>
    <w:sdtContent>
      <w:p w14:paraId="5ED3F80B" w14:textId="77777777" w:rsidR="00394201" w:rsidRDefault="002E2042">
        <w:pPr>
          <w:pStyle w:val="a7"/>
          <w:jc w:val="center"/>
        </w:pPr>
        <w:r>
          <w:fldChar w:fldCharType="begin"/>
        </w:r>
        <w:r>
          <w:instrText>PAGE   \* MERGEFORMAT</w:instrText>
        </w:r>
        <w:r>
          <w:fldChar w:fldCharType="separate"/>
        </w:r>
        <w:r>
          <w:rPr>
            <w:lang w:val="zh-CN" w:eastAsia="zh-CN"/>
          </w:rPr>
          <w:t>2</w:t>
        </w:r>
        <w:r>
          <w:fldChar w:fldCharType="end"/>
        </w:r>
      </w:p>
    </w:sdtContent>
  </w:sdt>
  <w:p w14:paraId="69A9DBB3" w14:textId="77777777" w:rsidR="00394201" w:rsidRDefault="00394201">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B4622A9" w14:textId="77777777" w:rsidR="002E2042" w:rsidRDefault="002E2042">
      <w:r>
        <w:separator/>
      </w:r>
    </w:p>
  </w:footnote>
  <w:footnote w:type="continuationSeparator" w:id="0">
    <w:p w14:paraId="61E0F990" w14:textId="77777777" w:rsidR="002E2042" w:rsidRDefault="002E204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4170ABD"/>
    <w:multiLevelType w:val="multilevel"/>
    <w:tmpl w:val="04170ABD"/>
    <w:lvl w:ilvl="0">
      <w:start w:val="1"/>
      <w:numFmt w:val="decimal"/>
      <w:lvlText w:val="%1."/>
      <w:lvlJc w:val="left"/>
      <w:pPr>
        <w:ind w:left="360" w:hanging="360"/>
      </w:pPr>
      <w:rPr>
        <w:rFonts w:hint="default"/>
      </w:rPr>
    </w:lvl>
    <w:lvl w:ilvl="1">
      <w:start w:val="1"/>
      <w:numFmt w:val="ideographTradition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1" w15:restartNumberingAfterBreak="0">
    <w:nsid w:val="1F9956D2"/>
    <w:multiLevelType w:val="multilevel"/>
    <w:tmpl w:val="1F9956D2"/>
    <w:lvl w:ilvl="0">
      <w:start w:val="1"/>
      <w:numFmt w:val="decimal"/>
      <w:lvlText w:val="%1"/>
      <w:lvlJc w:val="left"/>
      <w:pPr>
        <w:ind w:left="425" w:hanging="425"/>
      </w:pPr>
      <w:rPr>
        <w:rFonts w:hint="eastAsia"/>
      </w:rPr>
    </w:lvl>
    <w:lvl w:ilvl="1">
      <w:start w:val="1"/>
      <w:numFmt w:val="decimal"/>
      <w:lvlText w:val="%1.%2"/>
      <w:lvlJc w:val="left"/>
      <w:pPr>
        <w:ind w:left="992" w:hanging="567"/>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2" w15:restartNumberingAfterBreak="0">
    <w:nsid w:val="45BF6363"/>
    <w:multiLevelType w:val="multilevel"/>
    <w:tmpl w:val="45BF6363"/>
    <w:lvl w:ilvl="0">
      <w:start w:val="1"/>
      <w:numFmt w:val="decimal"/>
      <w:lvlText w:val="%1."/>
      <w:lvlJc w:val="left"/>
      <w:pPr>
        <w:ind w:left="480" w:hanging="480"/>
      </w:pPr>
    </w:lvl>
    <w:lvl w:ilvl="1">
      <w:start w:val="1"/>
      <w:numFmt w:val="bullet"/>
      <w:lvlText w:val=""/>
      <w:lvlJc w:val="left"/>
      <w:pPr>
        <w:ind w:left="960" w:hanging="480"/>
      </w:pPr>
      <w:rPr>
        <w:rFonts w:ascii="Wingdings" w:hAnsi="Wingdings" w:hint="default"/>
      </w:r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3" w15:restartNumberingAfterBreak="0">
    <w:nsid w:val="51EF7C35"/>
    <w:multiLevelType w:val="multilevel"/>
    <w:tmpl w:val="51EF7C35"/>
    <w:lvl w:ilvl="0">
      <w:start w:val="1"/>
      <w:numFmt w:val="decimal"/>
      <w:lvlText w:val="%1."/>
      <w:lvlJc w:val="left"/>
      <w:pPr>
        <w:ind w:left="480" w:hanging="480"/>
      </w:pPr>
    </w:lvl>
    <w:lvl w:ilvl="1">
      <w:start w:val="1"/>
      <w:numFmt w:val="bullet"/>
      <w:lvlText w:val=""/>
      <w:lvlJc w:val="left"/>
      <w:pPr>
        <w:ind w:left="960" w:hanging="480"/>
      </w:pPr>
      <w:rPr>
        <w:rFonts w:ascii="Wingdings" w:hAnsi="Wingdings" w:hint="default"/>
      </w:r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4" w15:restartNumberingAfterBreak="0">
    <w:nsid w:val="5B940A4D"/>
    <w:multiLevelType w:val="multilevel"/>
    <w:tmpl w:val="5B940A4D"/>
    <w:lvl w:ilvl="0">
      <w:start w:val="1"/>
      <w:numFmt w:val="decimal"/>
      <w:lvlText w:val="%1."/>
      <w:lvlJc w:val="left"/>
      <w:pPr>
        <w:ind w:left="480" w:hanging="480"/>
      </w:pPr>
    </w:lvl>
    <w:lvl w:ilvl="1">
      <w:start w:val="1"/>
      <w:numFmt w:val="bullet"/>
      <w:lvlText w:val=""/>
      <w:lvlJc w:val="left"/>
      <w:pPr>
        <w:ind w:left="960" w:hanging="480"/>
      </w:pPr>
      <w:rPr>
        <w:rFonts w:ascii="Wingdings" w:hAnsi="Wingdings" w:hint="default"/>
      </w:r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5" w15:restartNumberingAfterBreak="0">
    <w:nsid w:val="5DBB12EB"/>
    <w:multiLevelType w:val="multilevel"/>
    <w:tmpl w:val="5DBB12EB"/>
    <w:lvl w:ilvl="0">
      <w:start w:val="1"/>
      <w:numFmt w:val="decimal"/>
      <w:lvlText w:val="%1"/>
      <w:lvlJc w:val="left"/>
      <w:pPr>
        <w:ind w:left="425" w:hanging="425"/>
      </w:pPr>
      <w:rPr>
        <w:rFonts w:hint="eastAsia"/>
      </w:rPr>
    </w:lvl>
    <w:lvl w:ilvl="1">
      <w:start w:val="1"/>
      <w:numFmt w:val="decimal"/>
      <w:lvlText w:val="%1.%2"/>
      <w:lvlJc w:val="left"/>
      <w:pPr>
        <w:ind w:left="992" w:hanging="567"/>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6" w15:restartNumberingAfterBreak="0">
    <w:nsid w:val="72225702"/>
    <w:multiLevelType w:val="multilevel"/>
    <w:tmpl w:val="72225702"/>
    <w:lvl w:ilvl="0">
      <w:start w:val="1"/>
      <w:numFmt w:val="taiwaneseCountingThousand"/>
      <w:lvlText w:val="%1、"/>
      <w:lvlJc w:val="left"/>
      <w:pPr>
        <w:ind w:left="480" w:hanging="480"/>
      </w:pPr>
      <w:rPr>
        <w:rFonts w:hint="default"/>
      </w:rPr>
    </w:lvl>
    <w:lvl w:ilvl="1">
      <w:start w:val="1"/>
      <w:numFmt w:val="ideographTradition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7" w15:restartNumberingAfterBreak="0">
    <w:nsid w:val="743A3154"/>
    <w:multiLevelType w:val="multilevel"/>
    <w:tmpl w:val="743A3154"/>
    <w:lvl w:ilvl="0">
      <w:start w:val="1"/>
      <w:numFmt w:val="decimal"/>
      <w:lvlText w:val="%1."/>
      <w:lvlJc w:val="left"/>
      <w:pPr>
        <w:ind w:left="480" w:hanging="480"/>
      </w:pPr>
    </w:lvl>
    <w:lvl w:ilvl="1">
      <w:start w:val="1"/>
      <w:numFmt w:val="bullet"/>
      <w:lvlText w:val=""/>
      <w:lvlJc w:val="left"/>
      <w:pPr>
        <w:ind w:left="960" w:hanging="480"/>
      </w:pPr>
      <w:rPr>
        <w:rFonts w:ascii="Wingdings" w:hAnsi="Wingdings" w:hint="default"/>
      </w:r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8" w15:restartNumberingAfterBreak="0">
    <w:nsid w:val="75016AF5"/>
    <w:multiLevelType w:val="multilevel"/>
    <w:tmpl w:val="75016AF5"/>
    <w:lvl w:ilvl="0">
      <w:start w:val="1"/>
      <w:numFmt w:val="decimal"/>
      <w:lvlText w:val="%1."/>
      <w:lvlJc w:val="left"/>
      <w:pPr>
        <w:ind w:left="480" w:hanging="480"/>
      </w:pPr>
    </w:lvl>
    <w:lvl w:ilvl="1">
      <w:start w:val="1"/>
      <w:numFmt w:val="bullet"/>
      <w:lvlText w:val=""/>
      <w:lvlJc w:val="left"/>
      <w:pPr>
        <w:ind w:left="960" w:hanging="480"/>
      </w:pPr>
      <w:rPr>
        <w:rFonts w:ascii="Wingdings" w:hAnsi="Wingdings" w:hint="default"/>
      </w:r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9" w15:restartNumberingAfterBreak="0">
    <w:nsid w:val="767F47FF"/>
    <w:multiLevelType w:val="multilevel"/>
    <w:tmpl w:val="767F47FF"/>
    <w:lvl w:ilvl="0">
      <w:start w:val="1"/>
      <w:numFmt w:val="decimal"/>
      <w:lvlText w:val="%1."/>
      <w:lvlJc w:val="left"/>
      <w:pPr>
        <w:ind w:left="480" w:hanging="480"/>
      </w:pPr>
    </w:lvl>
    <w:lvl w:ilvl="1">
      <w:start w:val="1"/>
      <w:numFmt w:val="bullet"/>
      <w:lvlText w:val=""/>
      <w:lvlJc w:val="left"/>
      <w:pPr>
        <w:ind w:left="960" w:hanging="480"/>
      </w:pPr>
      <w:rPr>
        <w:rFonts w:ascii="Wingdings" w:hAnsi="Wingdings" w:hint="default"/>
      </w:r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num w:numId="1">
    <w:abstractNumId w:val="6"/>
  </w:num>
  <w:num w:numId="2">
    <w:abstractNumId w:val="0"/>
  </w:num>
  <w:num w:numId="3">
    <w:abstractNumId w:val="5"/>
  </w:num>
  <w:num w:numId="4">
    <w:abstractNumId w:val="2"/>
  </w:num>
  <w:num w:numId="5">
    <w:abstractNumId w:val="7"/>
  </w:num>
  <w:num w:numId="6">
    <w:abstractNumId w:val="1"/>
  </w:num>
  <w:num w:numId="7">
    <w:abstractNumId w:val="4"/>
  </w:num>
  <w:num w:numId="8">
    <w:abstractNumId w:val="3"/>
  </w:num>
  <w:num w:numId="9">
    <w:abstractNumId w:val="9"/>
  </w:num>
  <w:num w:numId="1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480"/>
  <w:drawingGridHorizontalSpacing w:val="120"/>
  <w:noPunctuationKerning/>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62700"/>
    <w:rsid w:val="B4FE1CC7"/>
    <w:rsid w:val="D65F0366"/>
    <w:rsid w:val="DFAE3D4A"/>
    <w:rsid w:val="EF15C071"/>
    <w:rsid w:val="F4DF5194"/>
    <w:rsid w:val="F7FF56D3"/>
    <w:rsid w:val="FD77666E"/>
    <w:rsid w:val="FFCD9707"/>
    <w:rsid w:val="000365E5"/>
    <w:rsid w:val="00073E96"/>
    <w:rsid w:val="00074B7E"/>
    <w:rsid w:val="00081006"/>
    <w:rsid w:val="000C30BF"/>
    <w:rsid w:val="000C59F4"/>
    <w:rsid w:val="000F478D"/>
    <w:rsid w:val="001205E7"/>
    <w:rsid w:val="00153A7B"/>
    <w:rsid w:val="001563B9"/>
    <w:rsid w:val="00163934"/>
    <w:rsid w:val="00167CE0"/>
    <w:rsid w:val="0017432B"/>
    <w:rsid w:val="00182295"/>
    <w:rsid w:val="001A283F"/>
    <w:rsid w:val="001F3905"/>
    <w:rsid w:val="00260569"/>
    <w:rsid w:val="00271186"/>
    <w:rsid w:val="002A4456"/>
    <w:rsid w:val="002B09B3"/>
    <w:rsid w:val="002C1109"/>
    <w:rsid w:val="002D5422"/>
    <w:rsid w:val="002E2042"/>
    <w:rsid w:val="00304B2C"/>
    <w:rsid w:val="00313FCA"/>
    <w:rsid w:val="00333892"/>
    <w:rsid w:val="003636E1"/>
    <w:rsid w:val="00363DC9"/>
    <w:rsid w:val="00364278"/>
    <w:rsid w:val="003661ED"/>
    <w:rsid w:val="003800DF"/>
    <w:rsid w:val="0038542A"/>
    <w:rsid w:val="00394201"/>
    <w:rsid w:val="003B11B0"/>
    <w:rsid w:val="003C7B40"/>
    <w:rsid w:val="003D2577"/>
    <w:rsid w:val="00422CDB"/>
    <w:rsid w:val="00475AB2"/>
    <w:rsid w:val="00475E3C"/>
    <w:rsid w:val="00476D76"/>
    <w:rsid w:val="004A6E0C"/>
    <w:rsid w:val="004A7FEC"/>
    <w:rsid w:val="004C22C6"/>
    <w:rsid w:val="004C64DF"/>
    <w:rsid w:val="004D29B3"/>
    <w:rsid w:val="004D6737"/>
    <w:rsid w:val="004E573D"/>
    <w:rsid w:val="004F2838"/>
    <w:rsid w:val="005001D7"/>
    <w:rsid w:val="00500CF0"/>
    <w:rsid w:val="00507881"/>
    <w:rsid w:val="0052232F"/>
    <w:rsid w:val="0053358B"/>
    <w:rsid w:val="00541B4D"/>
    <w:rsid w:val="0055692C"/>
    <w:rsid w:val="005762C6"/>
    <w:rsid w:val="005C7273"/>
    <w:rsid w:val="006101EA"/>
    <w:rsid w:val="0066221C"/>
    <w:rsid w:val="00662DD1"/>
    <w:rsid w:val="00665E6A"/>
    <w:rsid w:val="00673609"/>
    <w:rsid w:val="006B2B3B"/>
    <w:rsid w:val="006C46EA"/>
    <w:rsid w:val="006D3885"/>
    <w:rsid w:val="00767264"/>
    <w:rsid w:val="00773929"/>
    <w:rsid w:val="00777485"/>
    <w:rsid w:val="00782529"/>
    <w:rsid w:val="00790718"/>
    <w:rsid w:val="007A0A74"/>
    <w:rsid w:val="007C3076"/>
    <w:rsid w:val="007D677D"/>
    <w:rsid w:val="00806979"/>
    <w:rsid w:val="008469C0"/>
    <w:rsid w:val="008A7647"/>
    <w:rsid w:val="008C7A6F"/>
    <w:rsid w:val="008D6965"/>
    <w:rsid w:val="008E3E9E"/>
    <w:rsid w:val="008E6C23"/>
    <w:rsid w:val="00905F44"/>
    <w:rsid w:val="00917E57"/>
    <w:rsid w:val="009238D6"/>
    <w:rsid w:val="00927674"/>
    <w:rsid w:val="00947F34"/>
    <w:rsid w:val="00951DE5"/>
    <w:rsid w:val="009A3A9A"/>
    <w:rsid w:val="009A422F"/>
    <w:rsid w:val="009D37EF"/>
    <w:rsid w:val="009E59C3"/>
    <w:rsid w:val="009E68FE"/>
    <w:rsid w:val="00A324D9"/>
    <w:rsid w:val="00A57E2E"/>
    <w:rsid w:val="00A9052A"/>
    <w:rsid w:val="00A91F4E"/>
    <w:rsid w:val="00AA090B"/>
    <w:rsid w:val="00AE0DA7"/>
    <w:rsid w:val="00B14554"/>
    <w:rsid w:val="00B14FFF"/>
    <w:rsid w:val="00B151C1"/>
    <w:rsid w:val="00B46A8E"/>
    <w:rsid w:val="00B6333A"/>
    <w:rsid w:val="00BA3003"/>
    <w:rsid w:val="00BE5500"/>
    <w:rsid w:val="00BE571C"/>
    <w:rsid w:val="00BE57C4"/>
    <w:rsid w:val="00BF0E56"/>
    <w:rsid w:val="00C35B70"/>
    <w:rsid w:val="00C574FC"/>
    <w:rsid w:val="00C63203"/>
    <w:rsid w:val="00C756FB"/>
    <w:rsid w:val="00CA720C"/>
    <w:rsid w:val="00CD0B58"/>
    <w:rsid w:val="00CE1479"/>
    <w:rsid w:val="00D04863"/>
    <w:rsid w:val="00D06E42"/>
    <w:rsid w:val="00D45101"/>
    <w:rsid w:val="00D47336"/>
    <w:rsid w:val="00D560D3"/>
    <w:rsid w:val="00D639E5"/>
    <w:rsid w:val="00D73F96"/>
    <w:rsid w:val="00D764F3"/>
    <w:rsid w:val="00D95100"/>
    <w:rsid w:val="00DD5BC6"/>
    <w:rsid w:val="00E21B7C"/>
    <w:rsid w:val="00E44DFB"/>
    <w:rsid w:val="00E62700"/>
    <w:rsid w:val="00E65610"/>
    <w:rsid w:val="00EB2E6C"/>
    <w:rsid w:val="00EE50A5"/>
    <w:rsid w:val="00F54222"/>
    <w:rsid w:val="00F83FFE"/>
    <w:rsid w:val="00FB0B49"/>
    <w:rsid w:val="00FC7F63"/>
    <w:rsid w:val="00FD1457"/>
    <w:rsid w:val="00FD3DFE"/>
    <w:rsid w:val="33F56AAA"/>
    <w:rsid w:val="57FC06AD"/>
    <w:rsid w:val="5FEB9984"/>
    <w:rsid w:val="7BD55BA6"/>
    <w:rsid w:val="7BE7181E"/>
    <w:rsid w:val="7FFA0B2A"/>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5ECD062"/>
  <w15:docId w15:val="{F2E78B9B-3439-4AD8-BB2A-BFF4B54F99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SimSun" w:hAnsi="Times New Roman" w:cs="Times New Roman"/>
        <w:lang w:val="en-US" w:eastAsia="zh-TW"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pPr>
    <w:rPr>
      <w:rFonts w:asciiTheme="minorHAnsi" w:eastAsiaTheme="minorEastAsia" w:hAnsiTheme="minorHAnsi" w:cstheme="minorBidi"/>
      <w:kern w:val="2"/>
      <w:sz w:val="24"/>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link w:val="a4"/>
    <w:qFormat/>
    <w:pPr>
      <w:widowControl/>
      <w:spacing w:before="180" w:after="180"/>
    </w:pPr>
    <w:rPr>
      <w:kern w:val="0"/>
      <w:szCs w:val="24"/>
      <w:lang w:eastAsia="en-US"/>
    </w:rPr>
  </w:style>
  <w:style w:type="paragraph" w:styleId="a5">
    <w:name w:val="Balloon Text"/>
    <w:basedOn w:val="a"/>
    <w:link w:val="a6"/>
    <w:uiPriority w:val="99"/>
    <w:semiHidden/>
    <w:unhideWhenUsed/>
    <w:qFormat/>
    <w:rPr>
      <w:rFonts w:asciiTheme="majorHAnsi" w:eastAsiaTheme="majorEastAsia" w:hAnsiTheme="majorHAnsi" w:cstheme="majorBidi"/>
      <w:sz w:val="18"/>
      <w:szCs w:val="18"/>
    </w:rPr>
  </w:style>
  <w:style w:type="paragraph" w:styleId="a7">
    <w:name w:val="footer"/>
    <w:basedOn w:val="a"/>
    <w:link w:val="a8"/>
    <w:uiPriority w:val="99"/>
    <w:unhideWhenUsed/>
    <w:qFormat/>
    <w:pPr>
      <w:tabs>
        <w:tab w:val="center" w:pos="4153"/>
        <w:tab w:val="right" w:pos="8306"/>
      </w:tabs>
      <w:snapToGrid w:val="0"/>
    </w:pPr>
    <w:rPr>
      <w:sz w:val="20"/>
      <w:szCs w:val="20"/>
    </w:rPr>
  </w:style>
  <w:style w:type="paragraph" w:styleId="a9">
    <w:name w:val="header"/>
    <w:basedOn w:val="a"/>
    <w:link w:val="aa"/>
    <w:uiPriority w:val="99"/>
    <w:unhideWhenUsed/>
    <w:qFormat/>
    <w:pPr>
      <w:tabs>
        <w:tab w:val="center" w:pos="4153"/>
        <w:tab w:val="right" w:pos="8306"/>
      </w:tabs>
      <w:snapToGrid w:val="0"/>
    </w:pPr>
    <w:rPr>
      <w:sz w:val="20"/>
      <w:szCs w:val="20"/>
    </w:rPr>
  </w:style>
  <w:style w:type="paragraph" w:styleId="ab">
    <w:name w:val="footnote text"/>
    <w:basedOn w:val="a"/>
    <w:link w:val="ac"/>
    <w:uiPriority w:val="99"/>
    <w:semiHidden/>
    <w:unhideWhenUsed/>
    <w:qFormat/>
    <w:pPr>
      <w:snapToGrid w:val="0"/>
    </w:pPr>
    <w:rPr>
      <w:sz w:val="20"/>
      <w:szCs w:val="20"/>
    </w:rPr>
  </w:style>
  <w:style w:type="table" w:styleId="ad">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e">
    <w:name w:val="footnote reference"/>
    <w:basedOn w:val="a0"/>
    <w:uiPriority w:val="99"/>
    <w:semiHidden/>
    <w:unhideWhenUsed/>
    <w:qFormat/>
    <w:rPr>
      <w:vertAlign w:val="superscript"/>
    </w:rPr>
  </w:style>
  <w:style w:type="character" w:customStyle="1" w:styleId="aa">
    <w:name w:val="页眉 字符"/>
    <w:basedOn w:val="a0"/>
    <w:link w:val="a9"/>
    <w:uiPriority w:val="99"/>
    <w:qFormat/>
    <w:rPr>
      <w:sz w:val="20"/>
      <w:szCs w:val="20"/>
    </w:rPr>
  </w:style>
  <w:style w:type="character" w:customStyle="1" w:styleId="a8">
    <w:name w:val="页脚 字符"/>
    <w:basedOn w:val="a0"/>
    <w:link w:val="a7"/>
    <w:uiPriority w:val="99"/>
    <w:qFormat/>
    <w:rPr>
      <w:sz w:val="20"/>
      <w:szCs w:val="20"/>
    </w:rPr>
  </w:style>
  <w:style w:type="paragraph" w:styleId="af">
    <w:name w:val="List Paragraph"/>
    <w:basedOn w:val="a"/>
    <w:uiPriority w:val="34"/>
    <w:qFormat/>
    <w:pPr>
      <w:ind w:leftChars="200" w:left="480"/>
    </w:pPr>
  </w:style>
  <w:style w:type="character" w:customStyle="1" w:styleId="a6">
    <w:name w:val="批注框文本 字符"/>
    <w:basedOn w:val="a0"/>
    <w:link w:val="a5"/>
    <w:uiPriority w:val="99"/>
    <w:semiHidden/>
    <w:qFormat/>
    <w:rPr>
      <w:rFonts w:asciiTheme="majorHAnsi" w:eastAsiaTheme="majorEastAsia" w:hAnsiTheme="majorHAnsi" w:cstheme="majorBidi"/>
      <w:sz w:val="18"/>
      <w:szCs w:val="18"/>
    </w:rPr>
  </w:style>
  <w:style w:type="paragraph" w:customStyle="1" w:styleId="1">
    <w:name w:val="修订1"/>
    <w:hidden/>
    <w:uiPriority w:val="99"/>
    <w:semiHidden/>
    <w:qFormat/>
    <w:rPr>
      <w:rFonts w:asciiTheme="minorHAnsi" w:eastAsiaTheme="minorEastAsia" w:hAnsiTheme="minorHAnsi" w:cstheme="minorBidi"/>
      <w:kern w:val="2"/>
      <w:sz w:val="24"/>
      <w:szCs w:val="22"/>
    </w:rPr>
  </w:style>
  <w:style w:type="character" w:customStyle="1" w:styleId="ac">
    <w:name w:val="脚注文本 字符"/>
    <w:basedOn w:val="a0"/>
    <w:link w:val="ab"/>
    <w:uiPriority w:val="99"/>
    <w:semiHidden/>
    <w:qFormat/>
    <w:rPr>
      <w:sz w:val="20"/>
      <w:szCs w:val="20"/>
    </w:rPr>
  </w:style>
  <w:style w:type="character" w:customStyle="1" w:styleId="a4">
    <w:name w:val="正文文本 字符"/>
    <w:basedOn w:val="a0"/>
    <w:link w:val="a3"/>
    <w:qFormat/>
    <w:rPr>
      <w:kern w:val="0"/>
      <w:szCs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Version="6" StyleName="APA" SelectedStyle="\APASixthEditionOfficeOnline.xsl"/>
</file>

<file path=customXml/itemProps1.xml><?xml version="1.0" encoding="utf-8"?>
<ds:datastoreItem xmlns:ds="http://schemas.openxmlformats.org/officeDocument/2006/customXml" ds:itemID="{849D239A-E944-4AC6-B251-CF911CC93E1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347</Words>
  <Characters>1980</Characters>
  <Application>Microsoft Office Word</Application>
  <DocSecurity>0</DocSecurity>
  <Lines>16</Lines>
  <Paragraphs>4</Paragraphs>
  <ScaleCrop>false</ScaleCrop>
  <Company/>
  <LinksUpToDate>false</LinksUpToDate>
  <CharactersWithSpaces>2323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Christy WONG Suet Mui</dc:creator>
  <cp:lastModifiedBy>Christy WONG Suet Mui</cp:lastModifiedBy>
  <cp:revision>2</cp:revision>
  <cp:lastPrinted>2026-03-28T18:07:00Z</cp:lastPrinted>
  <dcterms:created xsi:type="dcterms:W3CDTF">2026-04-01T11:03:00Z</dcterms:created>
  <dcterms:modified xsi:type="dcterms:W3CDTF">2026-03-31T07:30:00Z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2052-0.0.0.0</vt:lpwstr>
  </property>
  <property fmtid="{D5CDD505-2E9C-101B-9397-08002B2CF9AE}" pid="3" name="ICV">
    <vt:lpwstr>1FD0ADA8E92B34B33273CB696CE03839_43</vt:lpwstr>
  </property>
</Properties>
</file>