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97A724" w14:textId="77777777" w:rsidR="00394201" w:rsidRDefault="002E2042">
      <w:pPr>
        <w:snapToGrid w:val="0"/>
        <w:spacing w:beforeLines="50" w:before="180" w:line="360" w:lineRule="auto"/>
        <w:ind w:firstLineChars="200" w:firstLine="803"/>
        <w:jc w:val="center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40"/>
          <w:szCs w:val="36"/>
          <w:lang w:eastAsia="zh-CN"/>
        </w:rPr>
      </w:pPr>
      <w:bookmarkStart w:id="0" w:name="OLE_LINK2"/>
      <w:bookmarkStart w:id="1" w:name="OLE_LINK1"/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  <w:t>各家运营商关键业绩摘要</w:t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</w:r>
      <w:r>
        <w:rPr>
          <w:rFonts w:ascii="FangSong" w:eastAsia="FangSong" w:hAnsi="FangSong" w:cs="Times New Roman"/>
          <w:b/>
          <w:bCs/>
          <w:snapToGrid w:val="0"/>
          <w:kern w:val="24"/>
          <w:sz w:val="40"/>
          <w:szCs w:val="36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</w:r>
    </w:p>
    <w:bookmarkEnd w:id="0"/>
    <w:bookmarkEnd w:id="1"/>
    <w:p w14:paraId="499EED94" w14:textId="77777777" w:rsidR="00394201" w:rsidRDefault="002E2042">
      <w:pPr>
        <w:pStyle w:val="a3"/>
        <w:spacing w:before="0" w:after="0" w:line="312" w:lineRule="auto"/>
        <w:jc w:val="center"/>
        <w:rPr>
          <w:rFonts w:ascii="FangSong" w:eastAsia="FangSong" w:hAnsi="FangSong"/>
          <w:sz w:val="28"/>
          <w:lang w:eastAsia="zh-CN"/>
        </w:rPr>
      </w:pPr>
      <w:r>
        <w:rPr>
          <w:rFonts w:ascii="FangSong" w:eastAsia="FangSong" w:hAnsi="FangSong" w:hint="eastAsia"/>
          <w:sz w:val="28"/>
          <w:lang w:eastAsia="zh-CN"/>
        </w:rPr>
        <w:t>战略部（智库）对标分析简报</w:t>
      </w:r>
      <w:proofErr w:type="gramStart"/>
      <w:r>
        <w:rPr>
          <w:rFonts w:ascii="FangSong" w:eastAsia="FangSong" w:hAnsi="FangSong" w:hint="eastAsia"/>
          <w:sz w:val="28"/>
          <w:lang w:eastAsia="zh-CN"/>
        </w:rPr>
      </w:r>
      <w:proofErr w:type="gramEnd"/>
      <w:r>
        <w:rPr>
          <w:rFonts w:ascii="FangSong" w:eastAsia="FangSong" w:hAnsi="FangSong" w:hint="eastAsia"/>
          <w:sz w:val="28"/>
          <w:lang w:eastAsia="zh-CN"/>
        </w:rPr>
      </w:r>
    </w:p>
    <w:p w14:paraId="5066AAE1" w14:textId="77777777" w:rsidR="00394201" w:rsidRDefault="002E2042">
      <w:pPr>
        <w:snapToGrid w:val="0"/>
        <w:spacing w:before="60" w:line="312" w:lineRule="auto"/>
        <w:ind w:firstLineChars="200" w:firstLine="560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截至2026年6月1日，中国移动、中国电信、中国联通及中国铁塔2025财年业绩均已发布。本摘要同步核对截至当前可获取的最新季度业绩、未经审核KPI、业绩公告及券商观点；年度业绩说明会日期与后续季度披露日期分别列示，供内部决策参考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bookmarkStart w:id="2" w:name="_Hlk225772476"/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bookmarkEnd w:id="2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FB884F8" w14:textId="77777777" w:rsidR="00394201" w:rsidRDefault="002E2042">
      <w:pPr>
        <w:spacing w:line="312" w:lineRule="auto"/>
        <w:jc w:val="center"/>
        <w:rPr>
          <w:rFonts w:ascii="FangSong" w:eastAsia="FangSong" w:hAnsi="FangSong"/>
          <w:b/>
          <w:sz w:val="32"/>
          <w:lang w:eastAsia="zh-CN"/>
        </w:rPr>
      </w:pPr>
      <w:r>
        <w:rPr>
          <w:rFonts w:ascii="FangSong" w:eastAsia="FangSong" w:hAnsi="FangSong" w:hint="eastAsia"/>
          <w:b/>
          <w:sz w:val="32"/>
          <w:lang w:eastAsia="zh-CN"/>
        </w:rPr>
        <w:t>表：各家运营商2025年关键业绩数据汇总</w:t>
      </w:r>
      <w:r>
        <w:rPr>
          <w:rFonts w:ascii="FangSong" w:eastAsia="FangSong" w:hAnsi="FangSong"/>
          <w:b/>
          <w:sz w:val="32"/>
          <w:lang w:eastAsia="zh-CN"/>
        </w:rPr>
      </w:r>
      <w:r>
        <w:rPr>
          <w:rFonts w:ascii="FangSong" w:eastAsia="FangSong" w:hAnsi="FangSong" w:hint="eastAsia"/>
          <w:b/>
          <w:sz w:val="32"/>
          <w:lang w:eastAsia="zh-CN"/>
        </w:rPr>
      </w:r>
    </w:p>
    <w:tbl>
      <w:tblPr>
        <w:tblStyle w:val="ad"/>
        <w:tblW w:w="8818" w:type="dxa"/>
        <w:jc w:val="center"/>
        <w:tblLook w:val="04A0" w:firstRow="1" w:lastRow="0" w:firstColumn="1" w:lastColumn="0" w:noHBand="0" w:noVBand="1"/>
      </w:tblPr>
      <w:tblGrid>
        <w:gridCol w:w="2701"/>
        <w:gridCol w:w="1382"/>
        <w:gridCol w:w="1382"/>
        <w:gridCol w:w="1383"/>
        <w:gridCol w:w="1970"/>
      </w:tblGrid>
      <w:tr w:rsidR="00BA3003" w14:paraId="58BB608A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/>
          </w:p>
        </w:tc>
        <w:tc>
          <w:tcPr>
            <w:tcW w:w="1382" w:type="dxa"/>
          </w:tcPr>
          <w:p>
            <w:r>
              <w:t>中国移动</w:t>
            </w:r>
          </w:p>
        </w:tc>
        <w:tc>
          <w:tcPr>
            <w:tcW w:w="1382" w:type="dxa"/>
          </w:tcPr>
          <w:p>
            <w:r>
              <w:t>中国电信</w:t>
            </w:r>
          </w:p>
        </w:tc>
        <w:tc>
          <w:tcPr>
            <w:tcW w:w="1383" w:type="dxa"/>
          </w:tcPr>
          <w:p>
            <w:r>
              <w:t>中国联通</w:t>
            </w:r>
          </w:p>
        </w:tc>
        <w:tc>
          <w:tcPr>
            <w:tcW w:w="1970" w:type="dxa"/>
          </w:tcPr>
          <w:p>
            <w:r>
              <w:t>中国铁塔</w:t>
            </w:r>
          </w:p>
        </w:tc>
      </w:tr>
      <w:tr w:rsidR="00BA3003" w14:paraId="724C57C1" w14:textId="77777777" w:rsidTr="00BA3003">
        <w:trPr>
          <w:trHeight w:val="977"/>
          <w:jc w:val="center"/>
        </w:trPr>
        <w:tc>
          <w:tcPr>
            <w:tcW w:w="2701" w:type="dxa"/>
          </w:tcPr>
          <w:p>
            <w:r>
              <w:t>营业收入（亿元）</w:t>
            </w:r>
          </w:p>
        </w:tc>
        <w:tc>
          <w:tcPr>
            <w:tcW w:w="1382" w:type="dxa"/>
          </w:tcPr>
          <w:p>
            <w:r>
              <w:t>10502</w:t>
              <w:br/>
              <w:t>+0.9%</w:t>
            </w:r>
          </w:p>
        </w:tc>
        <w:tc>
          <w:tcPr>
            <w:tcW w:w="1382" w:type="dxa"/>
          </w:tcPr>
          <w:p>
            <w:r>
              <w:t>5296</w:t>
              <w:br/>
              <w:t>+0.03%</w:t>
            </w:r>
          </w:p>
        </w:tc>
        <w:tc>
          <w:tcPr>
            <w:tcW w:w="1383" w:type="dxa"/>
          </w:tcPr>
          <w:p>
            <w:r>
              <w:t>3922</w:t>
              <w:br/>
              <w:t>+0.7%</w:t>
            </w:r>
          </w:p>
        </w:tc>
        <w:tc>
          <w:tcPr>
            <w:tcW w:w="1970" w:type="dxa"/>
          </w:tcPr>
          <w:p>
            <w:r>
              <w:t>1004</w:t>
              <w:br/>
              <w:t>+2.7%</w:t>
            </w:r>
          </w:p>
        </w:tc>
      </w:tr>
      <w:tr w:rsidR="00BA3003" w14:paraId="21098F54" w14:textId="77777777" w:rsidTr="00BA3003">
        <w:trPr>
          <w:trHeight w:val="1215"/>
          <w:jc w:val="center"/>
        </w:trPr>
        <w:tc>
          <w:tcPr>
            <w:tcW w:w="2701" w:type="dxa"/>
          </w:tcPr>
          <w:p>
            <w:r>
              <w:t>主营业务收入（亿元）</w:t>
            </w:r>
          </w:p>
        </w:tc>
        <w:tc>
          <w:tcPr>
            <w:tcW w:w="1382" w:type="dxa"/>
          </w:tcPr>
          <w:p>
            <w:r>
              <w:t>8955</w:t>
              <w:br/>
              <w:t>+0.7%</w:t>
            </w:r>
          </w:p>
        </w:tc>
        <w:tc>
          <w:tcPr>
            <w:tcW w:w="1382" w:type="dxa"/>
          </w:tcPr>
          <w:p>
            <w:r>
              <w:t>4854</w:t>
              <w:br/>
              <w:t>+0.7%</w:t>
            </w:r>
          </w:p>
        </w:tc>
        <w:tc>
          <w:tcPr>
            <w:tcW w:w="1383" w:type="dxa"/>
          </w:tcPr>
          <w:p>
            <w:r>
              <w:t>3477</w:t>
              <w:br/>
              <w:t>+0.5%</w:t>
            </w:r>
          </w:p>
        </w:tc>
        <w:tc>
          <w:tcPr>
            <w:tcW w:w="1970" w:type="dxa"/>
          </w:tcPr>
          <w:p>
            <w:r>
              <w:t>运营商业务收入 847.25亿元 +0.7%</w:t>
            </w:r>
          </w:p>
        </w:tc>
      </w:tr>
      <w:tr w:rsidR="00BA3003" w14:paraId="4BC2B377" w14:textId="77777777" w:rsidTr="00BA3003">
        <w:trPr>
          <w:trHeight w:val="912"/>
          <w:jc w:val="center"/>
        </w:trPr>
        <w:tc>
          <w:tcPr>
            <w:tcW w:w="2701" w:type="dxa"/>
          </w:tcPr>
          <w:p>
            <w:r>
              <w:t>EBITDA(亿元)</w:t>
            </w:r>
          </w:p>
        </w:tc>
        <w:tc>
          <w:tcPr>
            <w:tcW w:w="1382" w:type="dxa"/>
          </w:tcPr>
          <w:p>
            <w:r>
              <w:t>3389</w:t>
              <w:br/>
              <w:t>+1.6%</w:t>
            </w:r>
          </w:p>
        </w:tc>
        <w:tc>
          <w:tcPr>
            <w:tcW w:w="1382" w:type="dxa"/>
          </w:tcPr>
          <w:p>
            <w:r>
              <w:t>1439</w:t>
              <w:br/>
              <w:t>+2.1%</w:t>
            </w:r>
          </w:p>
        </w:tc>
        <w:tc>
          <w:tcPr>
            <w:tcW w:w="1383" w:type="dxa"/>
          </w:tcPr>
          <w:p>
            <w:r>
              <w:t>994</w:t>
              <w:br/>
              <w:t>+0%</w:t>
            </w:r>
          </w:p>
        </w:tc>
        <w:tc>
          <w:tcPr>
            <w:tcW w:w="1970" w:type="dxa"/>
          </w:tcPr>
          <w:p>
            <w:r>
              <w:t>658.14</w:t>
              <w:br/>
              <w:t>-1.1%</w:t>
            </w:r>
          </w:p>
        </w:tc>
      </w:tr>
      <w:tr w:rsidR="00BA3003" w14:paraId="7045117A" w14:textId="77777777" w:rsidTr="00BA3003">
        <w:trPr>
          <w:trHeight w:val="1089"/>
          <w:jc w:val="center"/>
        </w:trPr>
        <w:tc>
          <w:tcPr>
            <w:tcW w:w="2701" w:type="dxa"/>
          </w:tcPr>
          <w:p>
            <w:r>
              <w:t>归母净利润（亿元）</w:t>
            </w:r>
          </w:p>
        </w:tc>
        <w:tc>
          <w:tcPr>
            <w:tcW w:w="1382" w:type="dxa"/>
          </w:tcPr>
          <w:p>
            <w:r>
              <w:t>1371</w:t>
              <w:br/>
              <w:t>-0.9%</w:t>
            </w:r>
          </w:p>
        </w:tc>
        <w:tc>
          <w:tcPr>
            <w:tcW w:w="1382" w:type="dxa"/>
          </w:tcPr>
          <w:p>
            <w:r>
              <w:t>332</w:t>
              <w:br/>
              <w:t>+0.5%</w:t>
            </w:r>
          </w:p>
        </w:tc>
        <w:tc>
          <w:tcPr>
            <w:tcW w:w="1383" w:type="dxa"/>
          </w:tcPr>
          <w:p>
            <w:r>
              <w:t>91</w:t>
              <w:br/>
              <w:t>+1.1%</w:t>
            </w:r>
          </w:p>
        </w:tc>
        <w:tc>
          <w:tcPr>
            <w:tcW w:w="1970" w:type="dxa"/>
          </w:tcPr>
          <w:p>
            <w:r>
              <w:t>116</w:t>
              <w:br/>
              <w:t>+8.4%</w:t>
            </w:r>
          </w:p>
        </w:tc>
      </w:tr>
      <w:tr w:rsidR="00BA3003" w14:paraId="788B3B0A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>
              <w:t>净利率</w:t>
            </w:r>
          </w:p>
        </w:tc>
        <w:tc>
          <w:tcPr>
            <w:tcW w:w="1382" w:type="dxa"/>
          </w:tcPr>
          <w:p>
            <w:r>
              <w:t>13.1%</w:t>
            </w:r>
          </w:p>
        </w:tc>
        <w:tc>
          <w:tcPr>
            <w:tcW w:w="1382" w:type="dxa"/>
          </w:tcPr>
          <w:p>
            <w:r>
              <w:t>6.3%</w:t>
            </w:r>
          </w:p>
        </w:tc>
        <w:tc>
          <w:tcPr>
            <w:tcW w:w="1383" w:type="dxa"/>
          </w:tcPr>
          <w:p>
            <w:r>
              <w:t>2.3%</w:t>
            </w:r>
          </w:p>
        </w:tc>
        <w:tc>
          <w:tcPr>
            <w:tcW w:w="1970" w:type="dxa"/>
          </w:tcPr>
          <w:p>
            <w:r>
              <w:t>11.6%</w:t>
            </w:r>
          </w:p>
        </w:tc>
      </w:tr>
      <w:tr w:rsidR="00BA3003" w14:paraId="10705560" w14:textId="77777777" w:rsidTr="00BA3003">
        <w:trPr>
          <w:trHeight w:val="601"/>
          <w:jc w:val="center"/>
        </w:trPr>
        <w:tc>
          <w:tcPr>
            <w:tcW w:w="2701" w:type="dxa"/>
          </w:tcPr>
          <w:p>
            <w:r>
              <w:t>资本开支（亿元）</w:t>
            </w:r>
          </w:p>
        </w:tc>
        <w:tc>
          <w:tcPr>
            <w:tcW w:w="1382" w:type="dxa"/>
          </w:tcPr>
          <w:p>
            <w:r>
              <w:t>1509</w:t>
              <w:br/>
              <w:t>-8.0%</w:t>
            </w:r>
          </w:p>
        </w:tc>
        <w:tc>
          <w:tcPr>
            <w:tcW w:w="1382" w:type="dxa"/>
          </w:tcPr>
          <w:p>
            <w:r>
              <w:t>804</w:t>
              <w:br/>
              <w:t>-14.0%</w:t>
            </w:r>
          </w:p>
        </w:tc>
        <w:tc>
          <w:tcPr>
            <w:tcW w:w="1383" w:type="dxa"/>
          </w:tcPr>
          <w:p>
            <w:r>
              <w:t>542</w:t>
              <w:br/>
              <w:t>-11.7%</w:t>
            </w:r>
          </w:p>
        </w:tc>
        <w:tc>
          <w:tcPr>
            <w:tcW w:w="1970" w:type="dxa"/>
          </w:tcPr>
          <w:p>
            <w:r>
              <w:t>295</w:t>
              <w:br/>
              <w:t>-7.7%</w:t>
            </w:r>
          </w:p>
        </w:tc>
      </w:tr>
      <w:tr w:rsidR="00BA3003" w14:paraId="6F9B501E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>
              <w:t>资本开支2026年计划（亿元）</w:t>
            </w:r>
          </w:p>
        </w:tc>
        <w:tc>
          <w:tcPr>
            <w:tcW w:w="1382" w:type="dxa"/>
          </w:tcPr>
          <w:p>
            <w:r>
              <w:t>1366</w:t>
            </w:r>
          </w:p>
        </w:tc>
        <w:tc>
          <w:tcPr>
            <w:tcW w:w="1382" w:type="dxa"/>
          </w:tcPr>
          <w:p>
            <w:r>
              <w:t>730</w:t>
            </w:r>
          </w:p>
        </w:tc>
        <w:tc>
          <w:tcPr>
            <w:tcW w:w="1383" w:type="dxa"/>
          </w:tcPr>
          <w:p>
            <w:r>
              <w:t>500</w:t>
            </w:r>
          </w:p>
        </w:tc>
        <w:tc>
          <w:tcPr>
            <w:tcW w:w="1970" w:type="dxa"/>
          </w:tcPr>
          <w:p>
            <w:r>
              <w:t>未披露</w:t>
            </w:r>
          </w:p>
        </w:tc>
      </w:tr>
      <w:tr w:rsidR="00BA3003" w14:paraId="433CAB3D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>
              <w:t>移动用户数（亿户）</w:t>
            </w:r>
          </w:p>
        </w:tc>
        <w:tc>
          <w:tcPr>
            <w:tcW w:w="1382" w:type="dxa"/>
          </w:tcPr>
          <w:p>
            <w:r>
              <w:t>10.05</w:t>
            </w:r>
          </w:p>
        </w:tc>
        <w:tc>
          <w:tcPr>
            <w:tcW w:w="1382" w:type="dxa"/>
          </w:tcPr>
          <w:p>
            <w:r>
              <w:t>4.39</w:t>
            </w:r>
          </w:p>
        </w:tc>
        <w:tc>
          <w:tcPr>
            <w:tcW w:w="1383" w:type="dxa"/>
          </w:tcPr>
          <w:p>
            <w:r>
              <w:t>3.57</w:t>
            </w:r>
          </w:p>
        </w:tc>
        <w:tc>
          <w:tcPr>
            <w:tcW w:w="1970" w:type="dxa"/>
          </w:tcPr>
          <w:p>
            <w:r>
              <w:t>不涉及</w:t>
            </w:r>
          </w:p>
        </w:tc>
      </w:tr>
      <w:tr w:rsidR="00BA3003" w14:paraId="3C2B5CD4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>
              <w:t>5G网络用户数（亿户）</w:t>
            </w:r>
          </w:p>
        </w:tc>
        <w:tc>
          <w:tcPr>
            <w:tcW w:w="1382" w:type="dxa"/>
          </w:tcPr>
          <w:p>
            <w:r>
              <w:t>6.42</w:t>
            </w:r>
          </w:p>
        </w:tc>
        <w:tc>
          <w:tcPr>
            <w:tcW w:w="1382" w:type="dxa"/>
          </w:tcPr>
          <w:p>
            <w:r>
              <w:t>3.02</w:t>
            </w:r>
          </w:p>
        </w:tc>
        <w:tc>
          <w:tcPr>
            <w:tcW w:w="1383" w:type="dxa"/>
          </w:tcPr>
          <w:p>
            <w:r>
              <w:t>2.32</w:t>
            </w:r>
          </w:p>
        </w:tc>
        <w:tc>
          <w:tcPr>
            <w:tcW w:w="1970" w:type="dxa"/>
          </w:tcPr>
          <w:p>
            <w:r>
              <w:t>不涉及</w:t>
            </w:r>
          </w:p>
        </w:tc>
      </w:tr>
      <w:tr w:rsidR="00BA3003" w14:paraId="554C3DD1" w14:textId="77777777" w:rsidTr="00BA3003">
        <w:trPr>
          <w:trHeight w:val="50"/>
          <w:jc w:val="center"/>
        </w:trPr>
        <w:tc>
          <w:tcPr>
            <w:tcW w:w="2701" w:type="dxa"/>
          </w:tcPr>
          <w:p>
            <w:r>
              <w:t>5G网络渗透率</w:t>
            </w:r>
          </w:p>
        </w:tc>
        <w:tc>
          <w:tcPr>
            <w:tcW w:w="1382" w:type="dxa"/>
          </w:tcPr>
          <w:p>
            <w:r>
              <w:t>63.9%</w:t>
            </w:r>
          </w:p>
        </w:tc>
        <w:tc>
          <w:tcPr>
            <w:tcW w:w="1382" w:type="dxa"/>
          </w:tcPr>
          <w:p>
            <w:r>
              <w:t>68.8%</w:t>
            </w:r>
          </w:p>
        </w:tc>
        <w:tc>
          <w:tcPr>
            <w:tcW w:w="1383" w:type="dxa"/>
          </w:tcPr>
          <w:p>
            <w:r>
              <w:t>65.0%</w:t>
            </w:r>
          </w:p>
        </w:tc>
        <w:tc>
          <w:tcPr>
            <w:tcW w:w="1970" w:type="dxa"/>
          </w:tcPr>
          <w:p>
            <w:r>
              <w:t>不涉及</w:t>
            </w:r>
          </w:p>
        </w:tc>
      </w:tr>
    </w:tbl>
    <w:p w14:paraId="47F3CC3F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中国移动（2026Q1业绩4月20日；年度会3月26日）关键摘要</w:t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6EEF6141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全年派息每股5.27港元，同比增加3.5%，全年派息率75%；公司指引2026年派息率稳中有升，继续增强股东回报。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B5A2805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资本开支：</w:t>
      </w:r>
      <w:r>
        <w:rPr>
          <w:rFonts w:ascii="FangSong" w:eastAsia="FangSong" w:hAnsi="FangSong" w:cs="Times New Roman"/>
          <w:b w:val="0"/>
          <w:bCs/>
          <w:snapToGrid w:val="0"/>
          <w:kern w:val="24"/>
          <w:sz w:val="28"/>
          <w:szCs w:val="24"/>
          <w:lang w:eastAsia="zh-CN"/>
        </w:rPr>
        <w:t>2025年资本开支1509亿元，同比下降8.0%；2026年计划资本开支1366亿元，同比再降9.5%，其中算力网络投资增长62.4%、AI网络投资增长19.8%。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253A37E2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战略升级：</w:t>
      </w:r>
      <w:r>
        <w:rPr>
          <w:rFonts w:ascii="FangSong" w:hAnsi="FangSong"/>
          <w:b w:val="0"/>
          <w:sz w:val="28"/>
        </w:rPr>
        <w:t>年度说明会提出从传统通信服务向“通信服务、算力服务、AI服务”三大业务协同推进；最新一季度业绩显示营业收入2665亿元、同比增长1.0%，主营业务收入2199亿元、同比下降1.1%，其他业务收入466亿元、同比增长12.7%，转型业务对冲传统业务压力。</w:t>
      </w:r>
    </w:p>
    <w:p w14:paraId="7C7E878F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722B5EAC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022E239F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2B70168C" w14:textId="77777777" w:rsidR="00394201" w:rsidRDefault="002E2042">
      <w:pPr>
        <w:pStyle w:val="af"/>
        <w:numPr>
          <w:ilvl w:val="1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券商观点：券商观点整体维持正面：花旗维持买入并给出105.1港元目标价；另有机构维持跑赢大市/与大市同步评级，关注高股息与资本开支效率。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0A8EFEBD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市场反应：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最新一季度归母净利润293亿元、同比下降4.2%，市场关注点从年度派息和资本开支效率，延伸到税改/成本压力、主营业务下滑和算力/AI转型兑现节奏。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5B0198D5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中国电信（2026Q1报告4月23日；年度会3月24日）关键摘要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3D279F12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全年派息每股0.2720元，同比增加4.7%；其中末期股息每股0.0908元，全年现金分红比例为归母净利润的75%。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2324F821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资本开支：</w:t>
      </w:r>
      <w:r>
        <w:rPr>
          <w:rFonts w:ascii="FangSong" w:eastAsia="FangSong" w:hAnsi="FangSong" w:cs="Times New Roman"/>
          <w:b w:val="0"/>
          <w:bCs/>
          <w:snapToGrid w:val="0"/>
          <w:kern w:val="24"/>
          <w:sz w:val="28"/>
          <w:szCs w:val="24"/>
          <w:lang w:eastAsia="zh-CN"/>
        </w:rPr>
        <w:t>2025年资本开支804亿元；公司继续围绕云网融合、AIDC、算力和AI基础设施投入，同时保持自由现金流改善。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722BF902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战略升级：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年度说明会将战略从“云改数转”升级为“云改数转智惠”，全面拥抱AI；最新一季度报告后，重点继续落在AI、天翼云、AIDC、安全、量子和低空经济等产业数字化能力。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5169C14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券商观点：券商观点偏审慎正面：华泰证券维持买入评级，看好产业数字化业务在AI时代的发展前景，但下调盈利预测和目标价以反映传统业务和增值税调整压力。</w:t>
      </w:r>
    </w:p>
    <w:p w14:paraId="33994FCA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59361E01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市场反应：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年度业绩说明会后股价整体维持稳定；一季度报告发布后，市场继续关注AI投入、Token经营、传统业务增长放缓、增值税影响和利润弹性。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45E42671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中国联通（2026Q1FAQ4月后；年度会3月19日）关键摘要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26432267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全年股息每股0.417元，同比增加3.1%，派息率提升至61.3%；其中末期股息每股0.1329元，已派中期股息每股0.2841元。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5A053A13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  <w:t>资本开支：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2025年资本开支542亿元，资本开支占服务收入比重降至16%；2026年资本开支预计约500亿元，其中算力投资占比超过35%。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74491257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战略升级：</w:t>
      </w:r>
      <w:r>
        <w:rPr>
          <w:rFonts w:ascii="FangSong" w:eastAsia="FangSong" w:hAnsi="FangSong" w:cs="Times New Roman"/>
          <w:b w:val="0"/>
          <w:bCs/>
          <w:snapToGrid w:val="0"/>
          <w:kern w:val="24"/>
          <w:sz w:val="28"/>
          <w:szCs w:val="24"/>
          <w:lang w:eastAsia="zh-CN"/>
        </w:rPr>
        <w:t>年度说明会强调落实“AI+”行动；官网一季度FAQ披露，公司围绕“联接、算力、服务、安全”四大主责主业推进，算力业务收入154亿元、同比增长8.3%，云智产品付费用户超过1.1亿。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585E8070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券商观点：券商观点分化且偏谨慎：晨星下调中国联通公允价值预测至9.6港元并维持“无护城河”评级，瑞银维持中性评级并关注派息、EBITDA和收入增长低于预期的压力。</w:t>
      </w:r>
    </w:p>
    <w:p w14:paraId="1D918E5E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0F976EFC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19642B9C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4AD5471D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0D56653B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市场反应：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最新一季度经营收入1028.24亿元、同比下降0.5%，归母净利润48.85亿元、同比下降17.6%；市场主要担忧核心业务盈利能力、资本回报率、增值税调整和派息增长可持续性。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0392638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中国铁塔（2026Q1KPI4月17日；年度会3月18日）关键摘要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1B7BF9C1" w14:textId="77777777" w:rsidR="00394201" w:rsidRDefault="002E2042">
      <w:pPr>
        <w:pStyle w:val="af"/>
        <w:numPr>
          <w:ilvl w:val="0"/>
          <w:numId w:val="7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建议派发2025年末期股息每股0.32539元（税前），连同中期股息全年每股0.45789元（税前），全年可分配利润派息比率约77%。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95273AD" w14:textId="77777777" w:rsidR="00394201" w:rsidRDefault="002E2042">
      <w:pPr>
        <w:pStyle w:val="af"/>
        <w:numPr>
          <w:ilvl w:val="0"/>
          <w:numId w:val="7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proofErr w:type="gramStart"/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资本开支：</w:t>
      </w:r>
      <w:proofErr w:type="gramEnd"/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2025年资本开支294.86亿元，同比下降7.7%；自由现金流266.30亿元，同比增加91.03亿元，投资更聚焦站址共享、室分和两翼业务效率提升。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95273AD" w14:textId="77777777" w:rsidR="00394201" w:rsidRDefault="002E2042">
      <w:pPr>
        <w:pStyle w:val="af"/>
        <w:numPr>
          <w:ilvl w:val="0"/>
          <w:numId w:val="7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proofErr w:type="gramStart"/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战略升级：</w:t>
      </w:r>
      <w:proofErr w:type="gramEnd"/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年度说明会继续深化“一体两翼”战略；最新一季度KPI披露后，跟踪重点转向站址/租户规模、共享率、两翼业务延续增长和能源/智联业务质量。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95273AD" w14:textId="77777777" w:rsidR="00394201" w:rsidRDefault="002E2042">
      <w:pPr>
        <w:pStyle w:val="af"/>
        <w:numPr>
          <w:ilvl w:val="0"/>
          <w:numId w:val="7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proofErr w:type="gramStart"/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券商观点：券商观点偏中性：市场关注铁塔旧站升级维修开支、运营商资本开支下行对塔类业务的影响，同时认可两翼业务增长和股东回报提升。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95273AD" w14:textId="77777777" w:rsidR="00394201" w:rsidRDefault="002E2042">
      <w:pPr>
        <w:pStyle w:val="af"/>
        <w:numPr>
          <w:ilvl w:val="0"/>
          <w:numId w:val="7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proofErr w:type="gramStart"/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市场反应：</w:t>
      </w:r>
      <w:proofErr w:type="gramEnd"/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市场反应重点在利润增长和派息提升的防御属性；一季度KPI披露后，继续关注运营商投资周期下行、塔类业务增速、站址共享效率和维护成本变化。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5A630C49" w14:textId="29031ACB" w:rsidR="00394201" w:rsidRDefault="00394201" w:rsidP="00BA3003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pPr>
      <w:bookmarkStart w:id="3" w:name="_GoBack"/>
      <w:bookmarkEnd w:id="3"/>
    </w:p>
    <w:sectPr w:rsidR="00394201">
      <w:footerReference w:type="default" r:id="rId8"/>
      <w:pgSz w:w="11906" w:h="16838"/>
      <w:pgMar w:top="1440" w:right="1531" w:bottom="1440" w:left="153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BCF131" w14:textId="77777777" w:rsidR="002E2042" w:rsidRDefault="002E2042">
      <w:r>
        <w:separator/>
      </w:r>
    </w:p>
  </w:endnote>
  <w:endnote w:type="continuationSeparator" w:id="0">
    <w:p w14:paraId="7DF90BE5" w14:textId="77777777" w:rsidR="002E2042" w:rsidRDefault="002E2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汉仪仿宋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汉仪仿宋KW"/>
    <w:panose1 w:val="02010609060101010101"/>
    <w:charset w:val="86"/>
    <w:family w:val="modern"/>
    <w:pitch w:val="fixed"/>
    <w:sig w:usb0="00000003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"/>
    </w:sdtPr>
    <w:sdtEndPr/>
    <w:sdtContent>
      <w:p w14:paraId="5ED3F80B" w14:textId="77777777" w:rsidR="00394201" w:rsidRDefault="002E204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69A9DBB3" w14:textId="77777777" w:rsidR="00394201" w:rsidRDefault="0039420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4622A9" w14:textId="77777777" w:rsidR="002E2042" w:rsidRDefault="002E2042">
      <w:r>
        <w:separator/>
      </w:r>
    </w:p>
  </w:footnote>
  <w:footnote w:type="continuationSeparator" w:id="0">
    <w:p w14:paraId="61E0F990" w14:textId="77777777" w:rsidR="002E2042" w:rsidRDefault="002E20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70ABD"/>
    <w:multiLevelType w:val="multilevel"/>
    <w:tmpl w:val="04170A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9956D2"/>
    <w:multiLevelType w:val="multilevel"/>
    <w:tmpl w:val="1F9956D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5BF6363"/>
    <w:multiLevelType w:val="multilevel"/>
    <w:tmpl w:val="45BF6363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1EF7C35"/>
    <w:multiLevelType w:val="multilevel"/>
    <w:tmpl w:val="51EF7C35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B940A4D"/>
    <w:multiLevelType w:val="multilevel"/>
    <w:tmpl w:val="5B940A4D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DBB12EB"/>
    <w:multiLevelType w:val="multilevel"/>
    <w:tmpl w:val="5DBB12EB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72225702"/>
    <w:multiLevelType w:val="multilevel"/>
    <w:tmpl w:val="72225702"/>
    <w:lvl w:ilvl="0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43A3154"/>
    <w:multiLevelType w:val="multilevel"/>
    <w:tmpl w:val="743A315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5016AF5"/>
    <w:multiLevelType w:val="multilevel"/>
    <w:tmpl w:val="75016AF5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67F47FF"/>
    <w:multiLevelType w:val="multilevel"/>
    <w:tmpl w:val="767F47FF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2"/>
  </w:num>
  <w:num w:numId="5">
    <w:abstractNumId w:val="7"/>
  </w:num>
  <w:num w:numId="6">
    <w:abstractNumId w:val="1"/>
  </w:num>
  <w:num w:numId="7">
    <w:abstractNumId w:val="4"/>
  </w:num>
  <w:num w:numId="8">
    <w:abstractNumId w:val="3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480"/>
  <w:drawingGridHorizontalSpacing w:val="12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700"/>
    <w:rsid w:val="B4FE1CC7"/>
    <w:rsid w:val="D65F0366"/>
    <w:rsid w:val="DFAE3D4A"/>
    <w:rsid w:val="EF15C071"/>
    <w:rsid w:val="F4DF5194"/>
    <w:rsid w:val="F7FF56D3"/>
    <w:rsid w:val="FD77666E"/>
    <w:rsid w:val="FFCD9707"/>
    <w:rsid w:val="000365E5"/>
    <w:rsid w:val="00073E96"/>
    <w:rsid w:val="00074B7E"/>
    <w:rsid w:val="00081006"/>
    <w:rsid w:val="000C30BF"/>
    <w:rsid w:val="000C59F4"/>
    <w:rsid w:val="000F478D"/>
    <w:rsid w:val="001205E7"/>
    <w:rsid w:val="00153A7B"/>
    <w:rsid w:val="001563B9"/>
    <w:rsid w:val="00163934"/>
    <w:rsid w:val="00167CE0"/>
    <w:rsid w:val="0017432B"/>
    <w:rsid w:val="00182295"/>
    <w:rsid w:val="001A283F"/>
    <w:rsid w:val="001F3905"/>
    <w:rsid w:val="00260569"/>
    <w:rsid w:val="00271186"/>
    <w:rsid w:val="002A4456"/>
    <w:rsid w:val="002B09B3"/>
    <w:rsid w:val="002C1109"/>
    <w:rsid w:val="002D5422"/>
    <w:rsid w:val="002E2042"/>
    <w:rsid w:val="00304B2C"/>
    <w:rsid w:val="00313FCA"/>
    <w:rsid w:val="00333892"/>
    <w:rsid w:val="003636E1"/>
    <w:rsid w:val="00363DC9"/>
    <w:rsid w:val="00364278"/>
    <w:rsid w:val="003661ED"/>
    <w:rsid w:val="003800DF"/>
    <w:rsid w:val="0038542A"/>
    <w:rsid w:val="00394201"/>
    <w:rsid w:val="003B11B0"/>
    <w:rsid w:val="003C7B40"/>
    <w:rsid w:val="003D2577"/>
    <w:rsid w:val="00422CDB"/>
    <w:rsid w:val="00475AB2"/>
    <w:rsid w:val="00475E3C"/>
    <w:rsid w:val="00476D76"/>
    <w:rsid w:val="004A6E0C"/>
    <w:rsid w:val="004A7FEC"/>
    <w:rsid w:val="004C22C6"/>
    <w:rsid w:val="004C64DF"/>
    <w:rsid w:val="004D29B3"/>
    <w:rsid w:val="004D6737"/>
    <w:rsid w:val="004E573D"/>
    <w:rsid w:val="004F2838"/>
    <w:rsid w:val="005001D7"/>
    <w:rsid w:val="00500CF0"/>
    <w:rsid w:val="00507881"/>
    <w:rsid w:val="0052232F"/>
    <w:rsid w:val="0053358B"/>
    <w:rsid w:val="00541B4D"/>
    <w:rsid w:val="0055692C"/>
    <w:rsid w:val="005762C6"/>
    <w:rsid w:val="005C7273"/>
    <w:rsid w:val="006101EA"/>
    <w:rsid w:val="0066221C"/>
    <w:rsid w:val="00662DD1"/>
    <w:rsid w:val="00665E6A"/>
    <w:rsid w:val="00673609"/>
    <w:rsid w:val="006B2B3B"/>
    <w:rsid w:val="006C46EA"/>
    <w:rsid w:val="006D3885"/>
    <w:rsid w:val="00767264"/>
    <w:rsid w:val="00773929"/>
    <w:rsid w:val="00777485"/>
    <w:rsid w:val="00782529"/>
    <w:rsid w:val="00790718"/>
    <w:rsid w:val="007A0A74"/>
    <w:rsid w:val="007C3076"/>
    <w:rsid w:val="007D677D"/>
    <w:rsid w:val="00806979"/>
    <w:rsid w:val="008469C0"/>
    <w:rsid w:val="008A7647"/>
    <w:rsid w:val="008C7A6F"/>
    <w:rsid w:val="008D6965"/>
    <w:rsid w:val="008E3E9E"/>
    <w:rsid w:val="008E6C23"/>
    <w:rsid w:val="00905F44"/>
    <w:rsid w:val="00917E57"/>
    <w:rsid w:val="009238D6"/>
    <w:rsid w:val="00927674"/>
    <w:rsid w:val="00947F34"/>
    <w:rsid w:val="00951DE5"/>
    <w:rsid w:val="009A3A9A"/>
    <w:rsid w:val="009A422F"/>
    <w:rsid w:val="009D37EF"/>
    <w:rsid w:val="009E59C3"/>
    <w:rsid w:val="009E68FE"/>
    <w:rsid w:val="00A324D9"/>
    <w:rsid w:val="00A57E2E"/>
    <w:rsid w:val="00A9052A"/>
    <w:rsid w:val="00A91F4E"/>
    <w:rsid w:val="00AA090B"/>
    <w:rsid w:val="00AE0DA7"/>
    <w:rsid w:val="00B14554"/>
    <w:rsid w:val="00B14FFF"/>
    <w:rsid w:val="00B151C1"/>
    <w:rsid w:val="00B46A8E"/>
    <w:rsid w:val="00B6333A"/>
    <w:rsid w:val="00BA3003"/>
    <w:rsid w:val="00BE5500"/>
    <w:rsid w:val="00BE571C"/>
    <w:rsid w:val="00BE57C4"/>
    <w:rsid w:val="00BF0E56"/>
    <w:rsid w:val="00C35B70"/>
    <w:rsid w:val="00C574FC"/>
    <w:rsid w:val="00C63203"/>
    <w:rsid w:val="00C756FB"/>
    <w:rsid w:val="00CA720C"/>
    <w:rsid w:val="00CD0B58"/>
    <w:rsid w:val="00CE1479"/>
    <w:rsid w:val="00D04863"/>
    <w:rsid w:val="00D06E42"/>
    <w:rsid w:val="00D45101"/>
    <w:rsid w:val="00D47336"/>
    <w:rsid w:val="00D560D3"/>
    <w:rsid w:val="00D639E5"/>
    <w:rsid w:val="00D73F96"/>
    <w:rsid w:val="00D764F3"/>
    <w:rsid w:val="00D95100"/>
    <w:rsid w:val="00DD5BC6"/>
    <w:rsid w:val="00E21B7C"/>
    <w:rsid w:val="00E44DFB"/>
    <w:rsid w:val="00E62700"/>
    <w:rsid w:val="00E65610"/>
    <w:rsid w:val="00EB2E6C"/>
    <w:rsid w:val="00EE50A5"/>
    <w:rsid w:val="00F54222"/>
    <w:rsid w:val="00F83FFE"/>
    <w:rsid w:val="00FB0B49"/>
    <w:rsid w:val="00FC7F63"/>
    <w:rsid w:val="00FD1457"/>
    <w:rsid w:val="00FD3DFE"/>
    <w:rsid w:val="33F56AAA"/>
    <w:rsid w:val="57FC06AD"/>
    <w:rsid w:val="5FEB9984"/>
    <w:rsid w:val="7BD55BA6"/>
    <w:rsid w:val="7BE7181E"/>
    <w:rsid w:val="7FFA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CD062"/>
  <w15:docId w15:val="{F2E78B9B-3439-4AD8-BB2A-BFF4B54F9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rFonts w:asciiTheme="minorHAnsi" w:eastAsiaTheme="minorEastAsia" w:hAnsiTheme="minorHAnsi" w:cstheme="minorBidi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widowControl/>
      <w:spacing w:before="180" w:after="180"/>
    </w:pPr>
    <w:rPr>
      <w:kern w:val="0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qFormat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footnote text"/>
    <w:basedOn w:val="a"/>
    <w:link w:val="ac"/>
    <w:uiPriority w:val="99"/>
    <w:semiHidden/>
    <w:unhideWhenUsed/>
    <w:qFormat/>
    <w:pPr>
      <w:snapToGrid w:val="0"/>
    </w:pPr>
    <w:rPr>
      <w:sz w:val="20"/>
      <w:szCs w:val="20"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qFormat/>
    <w:rPr>
      <w:sz w:val="20"/>
      <w:szCs w:val="20"/>
    </w:rPr>
  </w:style>
  <w:style w:type="character" w:customStyle="1" w:styleId="a8">
    <w:name w:val="页脚 字符"/>
    <w:basedOn w:val="a0"/>
    <w:link w:val="a7"/>
    <w:uiPriority w:val="99"/>
    <w:qFormat/>
    <w:rPr>
      <w:sz w:val="20"/>
      <w:szCs w:val="20"/>
    </w:rPr>
  </w:style>
  <w:style w:type="paragraph" w:styleId="af">
    <w:name w:val="List Paragraph"/>
    <w:basedOn w:val="a"/>
    <w:uiPriority w:val="34"/>
    <w:qFormat/>
    <w:pPr>
      <w:ind w:leftChars="200" w:left="48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ajorHAnsi" w:eastAsiaTheme="majorEastAsia" w:hAnsiTheme="majorHAnsi" w:cstheme="majorBidi"/>
      <w:sz w:val="18"/>
      <w:szCs w:val="18"/>
    </w:rPr>
  </w:style>
  <w:style w:type="paragraph" w:customStyle="1" w:styleId="1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2"/>
    </w:rPr>
  </w:style>
  <w:style w:type="character" w:customStyle="1" w:styleId="ac">
    <w:name w:val="脚注文本 字符"/>
    <w:basedOn w:val="a0"/>
    <w:link w:val="ab"/>
    <w:uiPriority w:val="99"/>
    <w:semiHidden/>
    <w:qFormat/>
    <w:rPr>
      <w:sz w:val="20"/>
      <w:szCs w:val="20"/>
    </w:rPr>
  </w:style>
  <w:style w:type="character" w:customStyle="1" w:styleId="a4">
    <w:name w:val="正文文本 字符"/>
    <w:basedOn w:val="a0"/>
    <w:link w:val="a3"/>
    <w:qFormat/>
    <w:rPr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849D239A-E944-4AC6-B251-CF911CC9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Christy WONG Suet Mui</dc:creator>
  <cp:lastModifiedBy>Christy WONG Suet Mui</cp:lastModifiedBy>
  <cp:revision>2</cp:revision>
  <cp:lastPrinted>2026-03-28T18:07:00Z</cp:lastPrinted>
  <dcterms:created xsi:type="dcterms:W3CDTF">2026-04-01T11:03:00Z</dcterms:created>
  <dcterms:modified xsi:type="dcterms:W3CDTF">2026-03-31T07:30:00Z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1FD0ADA8E92B34B33273CB696CE03839_43</vt:lpwstr>
  </property>
</Properties>
</file>