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香港主要竞对关键业绩摘要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战略部（智库）对标分析简报</w:t>
      </w:r>
      <w:proofErr w:type="gramStart"/>
      <w:r>
        <w:rPr>
          <w:rFonts w:ascii="FangSong" w:eastAsia="FangSong" w:hAnsi="FangSong" w:hint="eastAsia"/>
          <w:sz w:val="28"/>
          <w:lang w:eastAsia="zh-CN"/>
        </w:rPr>
      </w:r>
      <w:proofErr w:type="gramEnd"/>
      <w:r>
        <w:rPr>
          <w:rFonts w:ascii="FangSong" w:eastAsia="FangSong" w:hAnsi="FangSong" w:hint="eastAsia"/>
          <w:sz w:val="28"/>
          <w:lang w:eastAsia="zh-CN"/>
        </w:rPr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截至2026年6月1日，本摘要同步核对香港主要竞对最新可获取的年度或中期业绩、后续经营披露、业绩公告及资本市场观点。上市主体与品牌口径分别列示；未公开或不适用的项目明确标注，供内部决策参考。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表：香港主要竞对最新关键业绩数据汇总</w:t>
      </w:r>
      <w:r>
        <w:rPr>
          <w:rFonts w:ascii="FangSong" w:eastAsia="FangSong" w:hAnsi="FangSong"/>
          <w:b/>
          <w:sz w:val="32"/>
          <w:lang w:eastAsia="zh-CN"/>
        </w:rPr>
      </w:r>
      <w:r>
        <w:rPr>
          <w:rFonts w:ascii="FangSong" w:eastAsia="FangSong" w:hAnsi="FangSong" w:hint="eastAsia"/>
          <w:b/>
          <w:sz w:val="32"/>
          <w:lang w:eastAsia="zh-CN"/>
        </w:rPr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主体</w:t>
            </w:r>
          </w:p>
        </w:tc>
        <w:tc>
          <w:tcPr>
            <w:tcW w:w="1382" w:type="dxa"/>
          </w:tcPr>
          <w:p>
            <w:r>
              <w:t>最新披露</w:t>
            </w:r>
          </w:p>
        </w:tc>
        <w:tc>
          <w:tcPr>
            <w:tcW w:w="1382" w:type="dxa"/>
          </w:tcPr>
          <w:p>
            <w:r>
              <w:t>收益</w:t>
            </w:r>
          </w:p>
        </w:tc>
        <w:tc>
          <w:tcPr>
            <w:tcW w:w="1383" w:type="dxa"/>
          </w:tcPr>
          <w:p>
            <w:r>
              <w:t>EBITDA / 利润</w:t>
            </w:r>
          </w:p>
        </w:tc>
        <w:tc>
          <w:tcPr>
            <w:tcW w:w="1970" w:type="dxa"/>
          </w:tcPr>
          <w:p>
            <w:r>
              <w:t>资本开支</w:t>
            </w:r>
          </w:p>
        </w:tc>
        <w:tc>
          <w:tcPr>
            <w:tcW w:type="dxa" w:w="1970"/>
          </w:tcPr>
          <w:p>
            <w:r>
              <w:t>派息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>
            <w:r>
              <w:t>HKT / csl / 1O1O</w:t>
            </w:r>
          </w:p>
        </w:tc>
        <w:tc>
          <w:tcPr>
            <w:tcW w:w="1382" w:type="dxa"/>
          </w:tcPr>
          <w:p>
            <w:r>
              <w:t>2025年度</w:t>
            </w:r>
          </w:p>
        </w:tc>
        <w:tc>
          <w:tcPr>
            <w:tcW w:w="1382" w:type="dxa"/>
          </w:tcPr>
          <w:p>
            <w:r>
              <w:t>撇除移动产品销售320.31亿港元</w:t>
            </w:r>
          </w:p>
        </w:tc>
        <w:tc>
          <w:tcPr>
            <w:tcW w:w="1383" w:type="dxa"/>
          </w:tcPr>
          <w:p>
            <w:r>
              <w:t>EBITDA 137.43亿港元</w:t>
            </w:r>
          </w:p>
        </w:tc>
        <w:tc>
          <w:tcPr>
            <w:tcW w:w="1970" w:type="dxa"/>
          </w:tcPr>
          <w:p>
            <w:r>
              <w:t>公开摘要未单列金额</w:t>
            </w:r>
          </w:p>
        </w:tc>
        <w:tc>
          <w:tcPr>
            <w:tcW w:type="dxa" w:w="1970"/>
          </w:tcPr>
          <w:p>
            <w:r>
              <w:t>全年分派0.8549港元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>
            <w:r>
              <w:t>3HK / Hutchison</w:t>
            </w:r>
          </w:p>
        </w:tc>
        <w:tc>
          <w:tcPr>
            <w:tcW w:w="1382" w:type="dxa"/>
          </w:tcPr>
          <w:p>
            <w:r>
              <w:t>2025年度</w:t>
            </w:r>
          </w:p>
        </w:tc>
        <w:tc>
          <w:tcPr>
            <w:tcW w:w="1382" w:type="dxa"/>
          </w:tcPr>
          <w:p>
            <w:r>
              <w:t>香港业务总收益54.48亿港元</w:t>
            </w:r>
          </w:p>
        </w:tc>
        <w:tc>
          <w:tcPr>
            <w:tcW w:w="1383" w:type="dxa"/>
          </w:tcPr>
          <w:p>
            <w:r>
              <w:t>香港业务EBIT 0.18亿港元</w:t>
            </w:r>
          </w:p>
        </w:tc>
        <w:tc>
          <w:tcPr>
            <w:tcW w:w="1970" w:type="dxa"/>
          </w:tcPr>
          <w:p>
            <w:r>
              <w:t>公开摘要未单列全年金额</w:t>
            </w:r>
          </w:p>
        </w:tc>
        <w:tc>
          <w:tcPr>
            <w:tcW w:type="dxa" w:w="1970"/>
          </w:tcPr>
          <w:p>
            <w:r>
              <w:t>全年股息7.49港仙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>
            <w:r>
              <w:t>SmarTone</w:t>
            </w:r>
          </w:p>
        </w:tc>
        <w:tc>
          <w:tcPr>
            <w:tcW w:w="1382" w:type="dxa"/>
          </w:tcPr>
          <w:p>
            <w:r>
              <w:t>2025/26中期</w:t>
            </w:r>
          </w:p>
        </w:tc>
        <w:tc>
          <w:tcPr>
            <w:tcW w:w="1382" w:type="dxa"/>
          </w:tcPr>
          <w:p>
            <w:r>
              <w:t>35.61亿港元</w:t>
            </w:r>
          </w:p>
        </w:tc>
        <w:tc>
          <w:tcPr>
            <w:tcW w:w="1383" w:type="dxa"/>
          </w:tcPr>
          <w:p>
            <w:r>
              <w:t>股东应占溢利2.78亿港元</w:t>
            </w:r>
          </w:p>
        </w:tc>
        <w:tc>
          <w:tcPr>
            <w:tcW w:w="1970" w:type="dxa"/>
          </w:tcPr>
          <w:p>
            <w:r>
              <w:t>公开摘要未单列金额</w:t>
            </w:r>
          </w:p>
        </w:tc>
        <w:tc>
          <w:tcPr>
            <w:tcW w:type="dxa" w:w="1970"/>
          </w:tcPr>
          <w:p>
            <w:r>
              <w:t>中期股息14.5港仙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>
            <w:r>
              <w:t>HKBN</w:t>
            </w:r>
          </w:p>
        </w:tc>
        <w:tc>
          <w:tcPr>
            <w:tcW w:w="1382" w:type="dxa"/>
          </w:tcPr>
          <w:p>
            <w:r>
              <w:t>2026财年中期</w:t>
            </w:r>
          </w:p>
        </w:tc>
        <w:tc>
          <w:tcPr>
            <w:tcW w:w="1382" w:type="dxa"/>
          </w:tcPr>
          <w:p>
            <w:r>
              <w:t>60.29亿港元</w:t>
            </w:r>
          </w:p>
        </w:tc>
        <w:tc>
          <w:tcPr>
            <w:tcW w:w="1383" w:type="dxa"/>
          </w:tcPr>
          <w:p>
            <w:r>
              <w:t>EBITDA 12.57亿港元；净利润1.08亿港元</w:t>
            </w:r>
          </w:p>
        </w:tc>
        <w:tc>
          <w:tcPr>
            <w:tcW w:w="1970" w:type="dxa"/>
          </w:tcPr>
          <w:p>
            <w:r>
              <w:t>2.70亿港元</w:t>
            </w:r>
          </w:p>
        </w:tc>
        <w:tc>
          <w:tcPr>
            <w:tcW w:type="dxa" w:w="1970"/>
          </w:tcPr>
          <w:p>
            <w:r>
              <w:t>中期股息15.5港仙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HGC</w:t>
            </w:r>
          </w:p>
        </w:tc>
        <w:tc>
          <w:tcPr>
            <w:tcW w:w="1382" w:type="dxa"/>
          </w:tcPr>
          <w:p>
            <w:r>
              <w:t>持续观察</w:t>
            </w:r>
          </w:p>
        </w:tc>
        <w:tc>
          <w:tcPr>
            <w:tcW w:w="1382" w:type="dxa"/>
          </w:tcPr>
          <w:p>
            <w:r>
              <w:t>非上市主体未公开披露</w:t>
            </w:r>
          </w:p>
        </w:tc>
        <w:tc>
          <w:tcPr>
            <w:tcW w:w="1383" w:type="dxa"/>
          </w:tcPr>
          <w:p>
            <w:r>
              <w:t>非上市主体未公开披露</w:t>
            </w:r>
          </w:p>
        </w:tc>
        <w:tc>
          <w:tcPr>
            <w:tcW w:w="1970" w:type="dxa"/>
          </w:tcPr>
          <w:p>
            <w:r>
              <w:t>非上市主体未公开披露</w:t>
            </w:r>
          </w:p>
        </w:tc>
        <w:tc>
          <w:tcPr>
            <w:tcW w:type="dxa" w:w="1970"/>
          </w:tcPr>
          <w:p>
            <w:r>
              <w:t>不适用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>
            <w:r>
              <w:t>i-CABLE</w:t>
            </w:r>
          </w:p>
        </w:tc>
        <w:tc>
          <w:tcPr>
            <w:tcW w:w="1382" w:type="dxa"/>
          </w:tcPr>
          <w:p>
            <w:r>
              <w:t>2025年度</w:t>
            </w:r>
          </w:p>
        </w:tc>
        <w:tc>
          <w:tcPr>
            <w:tcW w:w="1382" w:type="dxa"/>
          </w:tcPr>
          <w:p>
            <w:r>
              <w:t>约4.73亿港元</w:t>
            </w:r>
          </w:p>
        </w:tc>
        <w:tc>
          <w:tcPr>
            <w:tcW w:w="1383" w:type="dxa"/>
          </w:tcPr>
          <w:p>
            <w:r>
              <w:t>亏损约2.78亿港元</w:t>
            </w:r>
          </w:p>
        </w:tc>
        <w:tc>
          <w:tcPr>
            <w:tcW w:w="1970" w:type="dxa"/>
          </w:tcPr>
          <w:p>
            <w:r>
              <w:t>年报现金流附注口径</w:t>
            </w:r>
          </w:p>
        </w:tc>
        <w:tc>
          <w:tcPr>
            <w:tcW w:type="dxa" w:w="1970"/>
          </w:tcPr>
          <w:p>
            <w:r>
              <w:t>不派末期股息</w:t>
            </w:r>
          </w:p>
        </w:tc>
      </w:tr>
    </w:tbl>
    <w:p w14:paraId="47F3CC3F" w14:textId="77777777" w:rsidR="00394201" w:rsidRDefault="002E2042">
      <w:pPr>
        <w:pStyle w:val="af"/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HKT / csl / 1O1O（2025年度业绩2月26日）关键摘要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1. 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2025年度每个股份合订单位全年分派0.8549港元，同比增加3%；其中末期分派0.4882港元。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2. 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继续升级5G、光纤宽频及企业解决方案能力；公开摘要未单独列示年度资本开支金额。2025年上半年资本开支收入比已由6.6%改善至6.2%，反映5G覆盖完成后的投资纪律。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3. 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HKT继续围绕5G、光纤宽频、企业数字化及智慧生活服务推进；2025年撇除流动通讯产品销售后的总收益320.31亿港元，EBITDA为137.43亿港元，同比增长3%。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4. 券商观点：公开检索未发现可稳定抓取且可核验的最新券商评级全文；后续应接入授权研报源。当前判断重点为分派增长、移动服务收入和AI驱动的成本效率。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5. 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按公开交易数据，业绩发布前一交易日2月25日收盘价为12.24港元，后一交易日2月27日收盘价为12.34港元，上涨0.8%。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7F3CC3F" w14:textId="77777777" w:rsidR="00394201" w:rsidRDefault="002E2042">
      <w:pPr>
        <w:pStyle w:val="af"/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3HK / Hutchison（2025年度业绩3月9日）关键摘要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1. 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建议派发2025年度末期股息每股5.21港仙；连同中期股息2.28港仙，全年股息为每股7.49港仙，与上年持平。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2. 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官方年度业绩摘要未单独列示全年资本开支金额；2025年上半年资本开支为1.74亿港元，同比增加5%，投资继续聚焦香港网络和服务体验。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3. 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2025年完成澳门业务出售后进一步聚焦香港市场；香港业务总收益54.48亿港元，同比增长17%，香港业务EBIT为1800万港元，同比增长6%，漫游收益增长31%，企业解决方案收益增长33%，5G渗透率升至62%。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4. 券商观点：公开检索未发现可稳定抓取且可核验的最新券商评级全文；当前观察重点为出售澳门业务后的资源重配、漫游复苏及AI驱动企业解决方案增长。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5. 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按公开交易数据，业绩发布前一交易日3月6日收盘价为1.17港元，后一交易日3月10日收盘价为1.19港元，上涨1.7%。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7F3CC3F" w14:textId="77777777" w:rsidR="00394201" w:rsidRDefault="002E2042">
      <w:pPr>
        <w:pStyle w:val="af"/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SmarTone（2025/26中期业绩2月24日）关键摘要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1. 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中期股息每股0.145港元，与上年同期持平。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2. 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持续投资5G网络、客户体验和平台简化；公开中期摘要未披露统一资本开支金额。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3. 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2025/26上半年收益35.61亿港元，同比增长2%；本地服务收入18.71亿港元，同比增长3%；股东应占溢利2.78亿港元，同比增长8%；营运成本同比下降6%。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4. 券商观点：公开市场信息显示分析师口径偏正面，并出现买入评级及5.50港元目标价；正式报告应继续接入授权研报源复核。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5. 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按公开交易数据，业绩发布前一交易日2月23日收盘价为5.13港元，后一交易日2月25日收盘价为5.30港元，上涨3.3%。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7F3CC3F" w14:textId="77777777" w:rsidR="00394201" w:rsidRDefault="002E2042">
      <w:pPr>
        <w:pStyle w:val="af"/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HKBN（2026财年中期业绩4月24日）关键摘要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1. 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2026财年中期分派每股0.155港元，与上年同期持平。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2. 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2026财年上半年资本开支2.70亿港元，同比增加13%；继续投入企业方案、住宅光纤升级和AI融合能力。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3. 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2026财年上半年收益60.29亿港元，同比增长5.1%；核心服务收益增长8%；EBITDA为12.57亿港元，同比增长4.2%；净利润1.08亿港元。企业解决方案和“光纤进、铜线退”网络升级是重点。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4. 券商观点：公开市场分析页面给出约6.50港元的一年目标价；正式报告应继续接入授权研报源复核。市场关注AI与光纤升级投入、整合价值兑现及融资成本改善。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5. 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按公开交易数据，业绩发布前一交易日4月23日收盘价为8.20港元，后一交易日4月27日收盘价为7.34港元，下跌10.5%。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7F3CC3F" w14:textId="77777777" w:rsidR="00394201" w:rsidRDefault="002E2042">
      <w:pPr>
        <w:pStyle w:val="af"/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HGC（企业转型动态持续更新）关键摘要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1. 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不适用：HGC为非上市主体，未公开披露派息口径。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2. 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未公开披露统一资本开支金额；公开资料显示持续投入数据中心互联、云通信、网络服务和跨境连接能力。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3. 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围绕企业通信、数据中心互联、云、安全和跨境连接推进转型。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4. 券商观点：不适用：非上市主体，暂无公开券商评级口径。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5. 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不适用：非上市主体，不存在独立公开股票交易表现。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7F3CC3F" w14:textId="77777777" w:rsidR="00394201" w:rsidRDefault="002E2042">
      <w:pPr>
        <w:pStyle w:val="af"/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i-CABLE（2025年度业绩3月23日）关键摘要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1. 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董事会不建议派发2025年度末期股息。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2. 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公开业绩摘要未单独列示统一资本开支金额；需从2025年年报现金流及附注口径持续抽取。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3. 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2025年收益约4.73亿港元，同比下降22.4%；亏损收窄至约2.78亿港元。电讯业务应结合宽频和企业服务披露继续观察。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4. 券商观点：公开检索未发现可稳定抓取且可核验的最新券商评级全文，公开券商覆盖有限。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5. 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按公开交易数据，业绩发布前一交易日3月20日收盘价为0.06港元，后一交易日3月24日收盘价为0.06港元，上涨1.7%。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C7E878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722B5EAC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22E239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33994FCA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D918E5E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F976EF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9642B9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AD5471D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5A630C49" w14:textId="29031ACB" w:rsidR="00394201" w:rsidRDefault="00394201" w:rsidP="00BA3003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pPr>
      <w:bookmarkStart w:id="3" w:name="_GoBack"/>
      <w:bookmarkEnd w:id="3"/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