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A59BA" w14:textId="03A16A72" w:rsidR="00441250" w:rsidRDefault="00441250" w:rsidP="001C49A2">
      <w:pPr>
        <w:pageBreakBefore w:val="0"/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2.【低空经济】低空经济：促进低空经济生态系统发展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FD6EB6" w14:textId="77777777" w:rsidR="005B6CBE" w:rsidRPr="00176352" w:rsidRDefault="005B6CBE" w:rsidP="005B6CB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6D334050" w14:textId="7D7ED3C4" w:rsidR="00DA17B8" w:rsidRPr="005B6CBE" w:rsidRDefault="001C49A2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3.【战略升级】3HK / Hutchison战略升级更新</w:t>
      </w:r>
    </w:p>
    <w:p w14:paraId="7FAE99E9" w14:textId="60F374ED" w:rsidR="00E6244A" w:rsidRDefault="00E6244A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4.【战略升级】HGC战略升级更新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5.【战略升级】HKBN战略升级更新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6.【战略升级】HKT / csl / 1O1O战略升级更新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7.【收益】3HK / Hutchison披露收益：香港业务总收益54.48亿港元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8.【收益】HKBN披露收益：60.29亿港元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9.【收益】HKT / csl / 1O1O披露收益：365.53亿港元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10.【收益】SmarTone披露收益：35.61亿港元</w:t>
      </w:r>
    </w:p>
    <w:p w14:paraId="51243355" w14:textId="0847E2B6" w:rsidR="006E4BF3" w:rsidRPr="006E4BF3" w:rsidRDefault="006E4BF3" w:rsidP="006E4BF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5711025" w14:textId="6B54F2BF" w:rsidR="00DA5730" w:rsidRDefault="00DA5730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11.【5G-A】Airtel 5G-A：Airtel5G-A相关动态更新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12.【AI网络】Deutsche Telekom AI网络：6G创新中心推进AI原生网络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13.【Open RAN】Deutsche Telekom Open RAN：参与首个泛欧洲联邦边缘计算连续体</w:t>
      </w:r>
    </w:p>
    <w:p w14:paraId="24725080" w14:textId="083839B1" w:rsidR="00393008" w:rsidRDefault="00C80E77" w:rsidP="0044125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二、低空经济：促进低空经济生态系统发展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低空经济方面，促进低空经济生态系统发展。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三、3HK / Hutchison战略升级更新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四、HGC战略升级更新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五、HKBN战略升级更新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六、HKT / csl / 1O1O战略升级更新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七、3HK / Hutchison披露收益：香港业务总收益54.48亿港元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八、HKBN披露收益：60.29亿港元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1O1O披露收益：365.53亿港元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十、SmarTone披露收益：35.61亿港元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十一、Airtel 5G-A：Airtel5G-A相关动态更新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5G-A方面，Airtel5G-A相关动态更新。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十二、Deutsche Telekom AI网络：6G创新中心推进AI原生网络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AI网络方面，6G创新中心推进AI原生网络。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十三、Deutsche Telekom Open RAN：参与首个泛欧洲联邦边缘计算连续体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Open RAN方面，参与首个泛欧洲联邦边缘计算连续体。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