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2026年6月10日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1.【重大政策/声明】重大政策/声明：工信部已批准166家外资企业开展增值电信业务经营试点</w:t>
      </w:r>
    </w:p>
    <w:p w14:paraId="05667FE1" w14:textId="77777777" w:rsidR="00DA17B8" w:rsidRDefault="00DA17B8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2.【低空经济】低空经济：香港施政报告提出促进低空经济生态系统发展</w:t>
      </w:r>
    </w:p>
    <w:p w14:paraId="6D53B469" w14:textId="77777777" w:rsidR="00887776" w:rsidRDefault="00887776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3.【Web3】Web3：香港将制定数字资产交易及托管服务发牌制度的立法建议</w:t>
      </w:r>
    </w:p>
    <w:p w14:paraId="0EFD6EB6" w14:textId="77777777" w:rsidR="005B6CBE" w:rsidRPr="00176352" w:rsidRDefault="005B6CBE" w:rsidP="005B6CB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4.【覆盖义务】覆盖义务：香港推进偏远乡村光纤网络及农村和偏远地区5G覆盖资助计划</w:t>
      </w:r>
    </w:p>
    <w:p w14:paraId="6D334050" w14:textId="7D7ED3C4" w:rsidR="00DA17B8" w:rsidRPr="005B6CBE" w:rsidRDefault="001C49A2" w:rsidP="0093199E">
      <w:pPr>
        <w:widowControl/>
        <w:spacing w:before="0" w:after="0" w:line="240" w:lineRule="auto"/>
        <w:rPr>
          <w:rFonts w:ascii="FangSong" w:eastAsia="FangSong" w:hAnsi="FangSong"/>
          <w:color w:val="000000" w:themeColor="text1"/>
          <w:sz w:val="28"/>
        </w:rPr>
      </w:pPr>
    </w:p>
    <w:p w14:paraId="7FAE99E9" w14:textId="60F374ED" w:rsidR="00E6244A" w:rsidRDefault="00E6244A" w:rsidP="0093199E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51AF5F31" w14:textId="31D48E48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5.【战略升级】3HK / Hutchison战略升级更新</w:t>
      </w:r>
    </w:p>
    <w:p w14:paraId="227E4E4B" w14:textId="5327964C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6.【战略升级】HGC战略升级更新</w:t>
      </w:r>
    </w:p>
    <w:p w14:paraId="6927F30A" w14:textId="493079EB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7.【战略升级】HKBN战略升级更新</w:t>
      </w:r>
    </w:p>
    <w:p w14:paraId="169B3709" w14:textId="274BBD66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8.【战略升级】HKT / csl / 1O1O战略升级更新</w:t>
      </w:r>
    </w:p>
    <w:p w14:paraId="44574F2D" w14:textId="5D13236A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9.【收益】3HK / Hutchison披露收益：香港业务总收益54.48亿港元</w:t>
      </w:r>
    </w:p>
    <w:p w14:paraId="42427452" w14:textId="0A754D54" w:rsidR="006E4BF3" w:rsidRDefault="006E4BF3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10.【收益】HKBN披露收益：60.29亿港元</w:t>
      </w:r>
    </w:p>
    <w:p w14:paraId="51243355" w14:textId="0847E2B6" w:rsidR="006E4BF3" w:rsidRPr="006E4BF3" w:rsidRDefault="006E4BF3" w:rsidP="006E4BF3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11.【收益】HKT / csl / 1O1O披露收益：365.53亿港元</w:t>
      </w:r>
    </w:p>
    <w:p w14:paraId="75711025" w14:textId="6B54F2BF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12.【收益】SmarTone披露收益：35.61亿港元</w:t>
      </w:r>
    </w:p>
    <w:p w14:paraId="34F17429" w14:textId="77777777" w:rsidR="006E4BF3" w:rsidRDefault="006E4BF3" w:rsidP="0093199E">
      <w:pPr>
        <w:widowControl/>
        <w:spacing w:before="0" w:after="0" w:line="240" w:lineRule="auto"/>
        <w:rPr>
          <w:rFonts w:ascii="FangSong" w:eastAsia="FangSong" w:hAnsi="FangSong"/>
          <w:color w:val="000000" w:themeColor="text1"/>
          <w:sz w:val="28"/>
        </w:rPr>
      </w:pPr>
    </w:p>
    <w:p w14:paraId="4C842AC2" w14:textId="2E021C97" w:rsidR="006E4BF3" w:rsidRPr="006E4BF3" w:rsidRDefault="006E4BF3" w:rsidP="006E4BF3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国际资讯</w:t>
      </w:r>
    </w:p>
    <w:p w14:paraId="79B80828" w14:textId="1D89C8A1" w:rsidR="00DA17B8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13.【5G-A】Airtel 5G-A：片段中明确说明Ericsson、Volvo Group和Airtel宣布在印度开展5G Advanced数字孪生和XR研究合作</w:t>
      </w:r>
    </w:p>
    <w:p w14:paraId="24725080" w14:textId="083839B1" w:rsidR="00393008" w:rsidRDefault="00C80E77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14.【Capex方向】SK Telecom Capex方向：AI基础设施重组和大规模投资计划</w:t>
      </w:r>
    </w:p>
    <w:p w14:paraId="0219FE2A" w14:textId="583725BC" w:rsidR="00F55199" w:rsidRDefault="00F55199" w:rsidP="00441250">
      <w:pPr>
        <w:widowControl/>
        <w:spacing w:before="0" w:after="0" w:line="240" w:lineRule="auto"/>
        <w:rPr>
          <w:rFonts w:ascii="FangSong" w:eastAsia="FangSong" w:hAnsi="FangSong"/>
          <w:color w:val="000000" w:themeColor="text1"/>
          <w:sz w:val="28"/>
        </w:rPr>
      </w:pP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  <w:r>
        <w:br w:type="page"/>
      </w:r>
      <w:bookmarkStart w:id="4" w:name="_Hlk88818722"/>
      <w:bookmarkStart w:id="5" w:name="_Hlk92465682"/>
      <w:bookmarkStart w:id="6" w:name="_Hlk103328591"/>
      <w:bookmarkStart w:id="7" w:name="_Hlk175934949"/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一、重大政策/声明：工信部已批准166家外资企业开展增值电信业务经营试点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重大政策/声明方面，工信部已批准166家外资企业开展增值电信业务经营试点。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二、低空经济：香港施政报告提出促进低空经济生态系统发展</w:t>
      </w: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低空经济方面，香港施政报告提出促进低空经济生态系统发展。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三、Web3：香港将制定数字资产交易及托管服务发牌制度的立法建议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Web3方面，香港将制定数字资产交易及托管服务发牌制度的立法建议。</w:t>
      </w: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四、覆盖义务：香港推进偏远乡村光纤网络及农村和偏远地区5G覆盖资助计划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覆盖义务方面，香港推进偏远乡村光纤网络及农村和偏远地区5G覆盖资助计划。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五、3HK / Hutchison战略升级更新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2025年完成澳门业务出售后进一步聚焦香港市场；香港业务总收益54.48亿港元，同比增长17%，香港业务EBIT为1800万港元，同比增长6%，漫游收益增长31%，企业解决方案收益增长33%，5G渗透率升至62%。</w:t>
      </w: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六、HGC战略升级更新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HGC持续更新企业转型动态显示，围绕企业通信、数据中心互联、云、安全和跨境连接推进转型。</w:t>
      </w: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七、HKBN战略升级更新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HKBN2026年4月24日2026财年中期业绩显示，2026财年上半年收益60.29亿港元，同比增长5.1%；核心服务收益增长8%；EBITDA为12.57亿港元，同比增长4.2%；净利润1.08亿港元。企业解决方案和光纤进、铜线退网络升级是重点。</w:t>
      </w: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八、HKT / csl / 1O1O战略升级更新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1O1O2026年2月9日2025年度业绩显示，HKT继续围绕5G、光纤宽频、企业数字化、AI Exchange和智慧生活服务推进；2025年总收益365.53亿港元，撇除流动通讯产品销售后的收益约330.17亿港元，EBITDA为142.34亿港元，同比增长4%。</w:t>
      </w: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九、3HK / Hutchison披露收益：香港业务总收益54.48亿港元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Hutchison2026年3月9日2025年度业绩显示，香港业务总收益54.48亿港元。</w:t>
      </w: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十、HKBN披露收益：60.29亿港元</w:t>
      </w: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HKBN2026年4月24日2026财年中期业绩显示，60.29亿港元。</w:t>
      </w: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十一、HKT / csl / 1O1O披露收益：365.53亿港元</w:t>
      </w: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1O1O2026年2月9日2025年度业绩显示，365.53亿港元。</w:t>
      </w: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十二、SmarTone披露收益：35.61亿港元</w:t>
      </w: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SmarTone2026年2月24日2025/26中期业绩显示，35.61亿港元。</w:t>
      </w: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十三、Airtel 5G-A：片段中明确说明Ericsson、Volvo Group和Airtel宣布在印度开展5G Advanced数字孪生和XR研究合作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Airtel 5G-A方面，明确说明Ericsson、Volvo Group和Airtel宣布在印度开展5G Advanced数字孪生和XR研究合作。</w:t>
      </w: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十四、SK Telecom Capex方向：AI基础设施重组和大规模投资计划</w:t>
      </w: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SK Telecom Capex方向方面，AI基础设施重组和大规模投资计划。</w:t>
      </w: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