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2026年6月10日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1.【重大政策/声明】重大政策/声明：中国发布加强私募投资基金监管指导意见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2.【低空经济】低空经济：促进低空经济生态系统发展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FD6EB6" w14:textId="77777777" w:rsidR="005B6CBE" w:rsidRPr="00176352" w:rsidRDefault="005B6CBE" w:rsidP="005B6CB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6D334050" w14:textId="7D7ED3C4" w:rsidR="00DA17B8" w:rsidRPr="005B6CBE" w:rsidRDefault="001C49A2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3.【战略升级】3HK / Hutchison战略升级更新</w:t>
      </w:r>
    </w:p>
    <w:p w14:paraId="7FAE99E9" w14:textId="60F374ED" w:rsidR="00E6244A" w:rsidRDefault="00E6244A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4.【战略升级】HGC战略升级更新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5.【战略升级】HKBN战略升级更新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6.【战略升级】HKT / csl / 1O1O战略升级更新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7.【收益】3HK / Hutchison披露收益：香港业务总收益54.48亿港元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8.【收益】HKBN披露收益：60.29亿港元</w:t>
      </w:r>
    </w:p>
    <w:p w14:paraId="44574F2D" w14:textId="5D13236A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9.【收益】HKT / csl / 1O1O披露收益：365.53亿港元</w:t>
      </w:r>
    </w:p>
    <w:p w14:paraId="42427452" w14:textId="0A754D54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10.【收益】SmarTone披露收益：35.61亿港元</w:t>
      </w:r>
    </w:p>
    <w:p w14:paraId="51243355" w14:textId="0847E2B6" w:rsidR="006E4BF3" w:rsidRPr="006E4BF3" w:rsidRDefault="006E4BF3" w:rsidP="006E4BF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5711025" w14:textId="6B54F2BF" w:rsidR="00DA5730" w:rsidRDefault="00DA5730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11.【5G-A】Airtel 5G-A：Airtel5G-A相关动态更新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12.【AI网络】Deutsche Telekom AI网络：6G创新中心推进AI原生网络</w:t>
      </w:r>
    </w:p>
    <w:p w14:paraId="79B80828" w14:textId="1D89C8A1" w:rsidR="00DA17B8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13.【Open RAN】Deutsche Telekom Open RAN：参与首个泛欧洲联邦边缘计算连续体</w:t>
      </w:r>
    </w:p>
    <w:p w14:paraId="24725080" w14:textId="083839B1" w:rsidR="00393008" w:rsidRDefault="00C80E77" w:rsidP="0044125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一、重大政策/声明：中国发布加强私募投资基金监管指导意见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重大政策/声明方面，中国发布加强私募投资基金监管指导意见。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二、低空经济：促进低空经济生态系统发展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低空经济方面，促进低空经济生态系统发展。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三、3HK / Hutchison战略升级更新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四、HGC战略升级更新</w:t>
      </w: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五、HKBN战略升级更新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六、HKT / csl / 1O1O战略升级更新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七、3HK / Hutchison披露收益：香港业务总收益54.48亿港元</w:t>
      </w: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八、HKBN披露收益：60.29亿港元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九、HKT / csl / 1O1O披露收益：365.53亿港元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十、SmarTone披露收益：35.61亿港元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十一、Airtel 5G-A：Airtel5G-A相关动态更新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5G-A方面，Airtel5G-A相关动态更新。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十二、Deutsche Telekom AI网络：6G创新中心推进AI原生网络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AI网络方面，6G创新中心推进AI原生网络。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十三、Deutsche Telekom Open RAN：参与首个泛欧洲联邦边缘计算连续体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Open RAN方面，参与首个泛欧洲联邦边缘计算连续体。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