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2026年6月10日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1.【重大政策/声明】重大政策/声明：政治新闻重大政策/声明相关动态更新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2.【低空经济】低空经济：行业资讯低空经济相关动态更新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3.【Web3】Web3：行业资讯Web3相关动态更新</w:t>
      </w:r>
    </w:p>
    <w:p w14:paraId="0EFD6EB6" w14:textId="77777777" w:rsidR="005B6CBE" w:rsidRPr="00176352" w:rsidRDefault="005B6CBE" w:rsidP="005B6CB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334050" w14:textId="7D7ED3C4" w:rsidR="00DA17B8" w:rsidRPr="005B6CBE" w:rsidRDefault="001C49A2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7FAE99E9" w14:textId="60F374ED" w:rsidR="00E6244A" w:rsidRDefault="00E6244A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4.【战略升级】3HK / Hutchison战略升级更新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5.【战略升级】HGC战略升级更新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6.【战略升级】HKBN战略升级更新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7.【战略升级】HKT / csl / 1O1O战略升级更新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8.【收益】3HK / Hutchison披露收益：香港业务总收益54.48亿港元</w:t>
      </w:r>
    </w:p>
    <w:p w14:paraId="44574F2D" w14:textId="5D13236A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9.【收益】HKBN披露收益：60.29亿港元</w:t>
      </w:r>
    </w:p>
    <w:p w14:paraId="42427452" w14:textId="0A754D54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10.【收益】HKT / csl / 1O1O披露收益：365.53亿港元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11.【收益】SmarTone披露收益：35.61亿港元</w:t>
      </w:r>
    </w:p>
    <w:p w14:paraId="75711025" w14:textId="6B54F2BF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4F17429" w14:textId="77777777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12.【云】SK Telecom云：SKT计划在韩国建设千兆瓦级AI云</w:t>
      </w:r>
    </w:p>
    <w:p w14:paraId="79B80828" w14:textId="1D89C8A1" w:rsidR="00DA17B8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13.【Capex方向】SK Telecom Capex方向：AI基础设施重组和大规模投资计划</w:t>
      </w:r>
    </w:p>
    <w:p w14:paraId="24725080" w14:textId="083839B1" w:rsidR="00393008" w:rsidRDefault="00C80E77" w:rsidP="0044125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一、重大政策/声明：政治新闻重大政策/声明相关动态更新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重大政策/声明方面，政治新闻重大政策/声明相关动态更新。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二、低空经济：行业资讯低空经济相关动态更新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低空经济方面，行业资讯低空经济相关动态更新。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三、Web3：行业资讯Web3相关动态更新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Web3方面，行业资讯Web3相关动态更新。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四、3HK / Hutchison战略升级更新</w:t>
      </w: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五、HGC战略升级更新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六、HKBN战略升级更新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七、HKT / csl / 1O1O战略升级更新</w:t>
      </w: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八、3HK / Hutchison披露收益：香港业务总收益54.48亿港元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九、HKBN披露收益：60.29亿港元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十、HKT / csl / 1O1O披露收益：365.53亿港元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十一、SmarTone披露收益：35.61亿港元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十二、SK Telecom云：SKT计划在韩国建设千兆瓦级AI云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Telecom云方面，SKT计划在韩国建设千兆瓦级AI云。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十三、SK Telecom Capex方向：AI基础设施重组和大规模投资计划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 Capex方向方面，AI基础设施重组和大规模投资计划。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