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1.【重大政策/声明】重大政策/声明：工信部已批准166家外资企业开展增值电信业务经营试点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2.【低空经济】低空经济：香港施政报告提出促进低空经济生态系统发展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3.【Web3】Web3：香港将制定数字资产交易及托管服务发牌制度的立法建议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4.【覆盖义务】覆盖义务：香港推进偏远乡村光纤网络及农村和偏远地区5G覆盖资助计划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34F17429" w14:textId="77777777" w:rsidR="006E4BF3" w:rsidRDefault="006E4BF3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842AC2" w14:textId="2E021C97" w:rsidR="006E4BF3" w:rsidRPr="006E4BF3" w:rsidRDefault="006E4BF3" w:rsidP="006E4BF3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13.【云】SK Telecom云：SKT计划在韩国建设千兆瓦级AI云</w:t>
      </w:r>
    </w:p>
    <w:p w14:paraId="24725080" w14:textId="083839B1" w:rsidR="00393008" w:rsidRDefault="00C80E77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14.【Capex方向】SK Telecom Capex方向：AI基础设施重组和大规模投资计划</w:t>
      </w:r>
    </w:p>
    <w:p w14:paraId="0219FE2A" w14:textId="583725BC" w:rsidR="00F55199" w:rsidRDefault="00F55199" w:rsidP="0044125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一、重大政策/声明：工信部已批准166家外资企业开展增值电信业务经营试点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重大政策/声明方面，工信部已批准166家外资企业开展增值电信业务经营试点。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二、低空经济：香港施政报告提出促进低空经济生态系统发展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低空经济方面，香港施政报告提出促进低空经济生态系统发展。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三、Web3：香港将制定数字资产交易及托管服务发牌制度的立法建议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Web3方面，香港将制定数字资产交易及托管服务发牌制度的立法建议。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四、覆盖义务：香港推进偏远乡村光纤网络及农村和偏远地区5G覆盖资助计划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覆盖义务方面，香港推进偏远乡村光纤网络及农村和偏远地区5G覆盖资助计划。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十三、SK Telecom云：SKT计划在韩国建设千兆瓦级AI云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Telecom云方面，SKT计划在韩国建设千兆瓦级AI云。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十四、SK Telecom Capex方向：AI基础设施重组和大规模投资计划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Capex方向方面，AI基础设施重组和大规模投资计划。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