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2026年6月10日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1.【重大政策/声明】重大政策/声明：工信部已批准166家外资企业开展增值电信业务经营试点</w:t>
      </w:r>
    </w:p>
    <w:p w14:paraId="05667FE1" w14:textId="77777777" w:rsidR="00DA17B8" w:rsidRDefault="00DA17B8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2.【低空经济】低空经济：香港施政报告提出促进低空经济生态系统发展</w:t>
      </w:r>
    </w:p>
    <w:p w14:paraId="6D53B469" w14:textId="77777777" w:rsidR="00887776" w:rsidRDefault="00887776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3.【Web3】Web3：香港将制定数字资产交易及托管服务发牌制度的立法建议</w:t>
      </w:r>
    </w:p>
    <w:p w14:paraId="0EFD6EB6" w14:textId="77777777" w:rsidR="005B6CBE" w:rsidRPr="00176352" w:rsidRDefault="005B6CBE" w:rsidP="005B6CB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4.【覆盖义务】覆盖义务：香港推进偏远乡村光纤网络及农村和偏远地区5G覆盖资助计划</w:t>
      </w:r>
    </w:p>
    <w:p w14:paraId="6D334050" w14:textId="7D7ED3C4" w:rsidR="00DA17B8" w:rsidRPr="005B6CBE" w:rsidRDefault="001C49A2" w:rsidP="0093199E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7FAE99E9" w14:textId="60F374ED" w:rsidR="00E6244A" w:rsidRDefault="00E6244A" w:rsidP="0093199E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51AF5F31" w14:textId="31D48E48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5.【战略升级】3HK / Hutchison战略升级更新</w:t>
      </w:r>
    </w:p>
    <w:p w14:paraId="227E4E4B" w14:textId="5327964C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6.【战略升级】HGC战略升级更新</w:t>
      </w:r>
    </w:p>
    <w:p w14:paraId="6927F30A" w14:textId="493079EB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7.【战略升级】HKBN战略升级更新</w:t>
      </w:r>
    </w:p>
    <w:p w14:paraId="169B3709" w14:textId="274BBD66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8.【战略升级】HKT / csl / 1O1O战略升级更新</w:t>
      </w:r>
    </w:p>
    <w:p w14:paraId="44574F2D" w14:textId="5D13236A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9.【收益】3HK / Hutchison披露收益：香港业务总收益54.48亿港元</w:t>
      </w:r>
    </w:p>
    <w:p w14:paraId="42427452" w14:textId="0A754D54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10.【收益】HKBN披露收益：60.29亿港元</w:t>
      </w:r>
    </w:p>
    <w:p w14:paraId="51243355" w14:textId="0847E2B6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11.【收益】HKT / csl / 1O1O披露收益：365.53亿港元</w:t>
      </w:r>
    </w:p>
    <w:p w14:paraId="75711025" w14:textId="6B54F2BF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12.【收益】SmarTone披露收益：35.61亿港元</w:t>
      </w:r>
    </w:p>
    <w:p w14:paraId="34F17429" w14:textId="77777777" w:rsidR="006E4BF3" w:rsidRDefault="006E4BF3" w:rsidP="0093199E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4C842AC2" w14:textId="2E021C97" w:rsidR="006E4BF3" w:rsidRPr="006E4BF3" w:rsidRDefault="006E4BF3" w:rsidP="006E4BF3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79B80828" w14:textId="1D89C8A1" w:rsidR="00DA17B8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13.【云】SK Telecom云：SKT计划在韩国建设千兆瓦级AI云</w:t>
      </w:r>
    </w:p>
    <w:p w14:paraId="24725080" w14:textId="083839B1" w:rsidR="00393008" w:rsidRDefault="00C80E77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14.【Capex方向】SK Telecom Capex方向：AI基础设施重组和大规模投资计划</w:t>
      </w:r>
    </w:p>
    <w:p w14:paraId="0219FE2A" w14:textId="583725BC" w:rsidR="00F55199" w:rsidRDefault="00F55199" w:rsidP="00441250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一、重大政策/声明：工信部已批准166家外资企业开展增值电信业务经营试点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重大政策/声明方面，工信部已批准166家外资企业开展增值电信业务经营试点。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二、低空经济：香港施政报告提出促进低空经济生态系统发展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低空经济方面，香港施政报告提出促进低空经济生态系统发展。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三、Web3：香港将制定数字资产交易及托管服务发牌制度的立法建议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Web3方面，香港将制定数字资产交易及托管服务发牌制度的立法建议。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四、覆盖义务：香港推进偏远乡村光纤网络及农村和偏远地区5G覆盖资助计划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覆盖义务方面，香港推进偏远乡村光纤网络及农村和偏远地区5G覆盖资助计划。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五、3HK / Hutchison战略升级更新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六、HGC战略升级更新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HGC持续更新企业转型动态显示，围绕企业通信、数据中心互联、云、安全和跨境连接推进转型。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七、HKBN战略升级更新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HKBN2026年4月24日2026财年中期业绩显示，2026财年上半年收益60.29亿港元，同比增长5.1%；核心服务收益增长8%；EBITDA为12.57亿港元，同比增长4.2%；净利润1.08亿港元。企业解决方案和光纤进、铜线退网络升级是重点。</w:t>
      </w: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八、HKT / csl / 1O1O战略升级更新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九、3HK / Hutchison披露收益：香港业务总收益54.48亿港元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Hutchison2026年3月9日2025年度业绩显示，香港业务总收益54.48亿港元。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十、HKBN披露收益：60.29亿港元</w:t>
      </w: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HKBN2026年4月24日2026财年中期业绩显示，60.29亿港元。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十一、HKT / csl / 1O1O披露收益：365.53亿港元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1O1O2026年2月9日2025年度业绩显示，365.53亿港元。</w:t>
      </w: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十二、SmarTone披露收益：35.61亿港元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SmarTone2026年2月24日2025/26中期业绩显示，35.61亿港元。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十三、SK Telecom云：SKT计划在韩国建设千兆瓦级AI云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SK Telecom云方面，SKT计划在韩国建设千兆瓦级AI云。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十四、SK Telecom Capex方向：AI基础设施重组和大规模投资计划</w:t>
      </w: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SK Telecom Capex方向方面，AI基础设施重组和大规模投资计划。</w:t>
      </w: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