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2026年6月10日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1.【重大政策/声明】重大政策/声明：中国发布加强私募投资基金监管指导意见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2.【低空经济】低空经济：促进低空经济生态系统发展</w:t>
      </w: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FD6EB6" w14:textId="77777777" w:rsidR="005B6CBE" w:rsidRPr="00176352" w:rsidRDefault="005B6CBE" w:rsidP="005B6CB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6D334050" w14:textId="7D7ED3C4" w:rsidR="00DA17B8" w:rsidRPr="005B6CBE" w:rsidRDefault="001C49A2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3.【战略升级】3HK / Hutchison战略升级更新</w:t>
      </w:r>
    </w:p>
    <w:p w14:paraId="7FAE99E9" w14:textId="60F374ED" w:rsidR="00E6244A" w:rsidRDefault="00E6244A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4.【战略升级】HGC战略升级更新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5.【战略升级】HKBN战略升级更新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6.【战略升级】HKT / csl / 1O1O战略升级更新</w:t>
      </w:r>
    </w:p>
    <w:p w14:paraId="6927F30A" w14:textId="493079EB" w:rsidR="0093199E" w:rsidRDefault="0093199E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69B3709" w14:textId="274BBD66" w:rsidR="00DA5730" w:rsidRDefault="00DA5730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社会资讯</w:t>
      </w:r>
    </w:p>
    <w:p w14:paraId="44574F2D" w14:textId="5D13236A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7.【收益】3HK / Hutchison披露收益：香港业务总收益54.48亿港元</w:t>
      </w:r>
    </w:p>
    <w:p w14:paraId="42427452" w14:textId="0A754D54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8.【收益】HKBN披露收益：60.29亿港元</w:t>
      </w:r>
    </w:p>
    <w:p w14:paraId="51243355" w14:textId="0847E2B6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9.【收益】HKT / csl / 1O1O披露收益：365.53亿港元</w:t>
      </w:r>
    </w:p>
    <w:p w14:paraId="75711025" w14:textId="6B54F2BF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10.【收益】SmarTone披露收益：35.61亿港元</w:t>
      </w:r>
    </w:p>
    <w:p w14:paraId="34F17429" w14:textId="77777777" w:rsidR="006E4BF3" w:rsidRDefault="006E4BF3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842AC2" w14:textId="2E021C97" w:rsidR="006E4BF3" w:rsidRPr="006E4BF3" w:rsidRDefault="006E4BF3" w:rsidP="006E4BF3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79B80828" w14:textId="1D89C8A1" w:rsidR="00DA17B8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11.【5G-A】Airtel 5G-A：Airtel5G-A相关动态更新</w:t>
      </w:r>
    </w:p>
    <w:p w14:paraId="24725080" w14:textId="083839B1" w:rsidR="00393008" w:rsidRDefault="00C80E77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12.【AI网络】Deutsche Telekom AI网络：6G创新中心推进AI原生网络</w:t>
      </w:r>
    </w:p>
    <w:p w14:paraId="0219FE2A" w14:textId="583725BC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13.【Open RAN】Deutsche Telekom Open RAN：参与首个泛欧洲联邦边缘计算连续体</w:t>
      </w:r>
    </w:p>
    <w:p w14:paraId="2221473E" w14:textId="62348617" w:rsidR="00511216" w:rsidRDefault="00F55199" w:rsidP="0044125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37CAD1B" w14:textId="143C23C2" w:rsidR="00F55199" w:rsidRDefault="00F55199" w:rsidP="00441250">
      <w:pPr>
        <w:rPr>
          <w:rFonts w:ascii="FangSong" w:eastAsia="FangSong" w:hAnsi="FangSong" w:cs="FangSong"/>
          <w:noProof/>
          <w:snapToGrid w:val="0"/>
          <w:color w:val="000000"/>
          <w:spacing w:val="-1"/>
          <w:kern w:val="0"/>
          <w:sz w:val="31"/>
          <w:szCs w:val="31"/>
        </w:rPr>
      </w:pPr>
    </w:p>
    <w:p w14:paraId="2C129016" w14:textId="742A73C0" w:rsidR="004846BF" w:rsidRDefault="00F55199" w:rsidP="004846BF">
      <w:pPr>
        <w:rPr>
          <w:rFonts w:ascii="FangSong" w:eastAsia="FangSong" w:hAnsi="FangSong" w:cs="FangSong"/>
          <w:noProof/>
          <w:snapToGrid w:val="0"/>
          <w:color w:val="000000"/>
          <w:spacing w:val="-1"/>
          <w:kern w:val="0"/>
          <w:sz w:val="31"/>
          <w:szCs w:val="31"/>
        </w:rPr>
      </w:pPr>
    </w:p>
    <w:p w14:paraId="24FD9632" w14:textId="77777777" w:rsidR="00CB6333" w:rsidRPr="00CB6333" w:rsidRDefault="00CB6333" w:rsidP="004846BF">
      <w:pPr>
        <w:rPr>
          <w:rFonts w:ascii="FangSong" w:eastAsia="FangSong" w:hAnsi="FangSong" w:cs="FangSong"/>
          <w:noProof/>
          <w:snapToGrid w:val="0"/>
          <w:color w:val="000000"/>
          <w:spacing w:val="-1"/>
          <w:kern w:val="0"/>
          <w:sz w:val="31"/>
          <w:szCs w:val="31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一、重大政策/声明：中国发布加强私募投资基金监管指导意见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重大政策/声明方面，中国发布加强私募投资基金监管指导意见。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二、低空经济：促进低空经济生态系统发展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低空经济方面，促进低空经济生态系统发展。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三、3HK / Hutchison战略升级更新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四、HGC战略升级更新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HGC持续更新企业转型动态显示，围绕企业通信、数据中心互联、云、安全和跨境连接推进转型。</w:t>
      </w: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五、HKBN战略升级更新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HKBN2026年4月24日2026财年中期业绩显示，2026财年上半年收益60.29亿港元，同比增长5.1%；核心服务收益增长8%；EBITDA为12.57亿港元，同比增长4.2%；净利润1.08亿港元。企业解决方案和光纤进、铜线退网络升级是重点。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六、HKT / csl / 1O1O战略升级更新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社会资讯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七、3HK / Hutchison披露收益：香港业务总收益54.48亿港元</w:t>
      </w: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3HK / Hutchison2026年3月9日2025年度业绩显示，香港业务总收益54.48亿港元。</w:t>
      </w: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八、HKBN披露收益：60.29亿港元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HKBN2026年4月24日2026财年中期业绩显示，60.29亿港元。</w:t>
      </w: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九、HKT / csl / 1O1O披露收益：365.53亿港元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HKT / csl / 1O1O2026年2月9日2025年度业绩显示，365.53亿港元。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十、SmarTone披露收益：35.61亿港元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SmarTone2026年2月24日2025/26中期业绩显示，35.61亿港元。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十一、Airtel 5G-A：Airtel5G-A相关动态更新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Airtel 5G-A方面，Airtel5G-A相关动态更新。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十二、Deutsche Telekom AI网络：6G创新中心推进AI原生网络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Deutsche Telekom AI网络方面，6G创新中心推进AI原生网络。</w:t>
      </w: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十三、Deutsche Telekom Open RAN：参与首个泛欧洲联邦边缘计算连续体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Deutsche Telekom Open RAN方面，参与首个泛欧洲联邦边缘计算连续体。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