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10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全年股息0.0749港元</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中期股息0.145港元</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中期股息0.155港元</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建议派发2025年度末期股息每股0.0521港元；连同中期股息0.0228港元，全年股息为每股0.0749港元，与上年持平。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