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10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建议派发2025年度末期股息每股5.21港仙；连同中期股息2.28港仙，全年股息为每股7.49港仙，与上年持平。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