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8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d (HKG:6823) Hong Kong · Delayed Price · Currency is HKD Full Chart Watchlist Alerts Compare 11.86 -0.11 (-0.92%) Jun 8, 2026, 10:49 AM HKT Overview Financials Forecast Statistics Dividends History Profile Chart Statisti</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 | --- | --- | --- | | | H1 | H2 | Full Year | H1 | H2 | Full Year | | | Total EBITDA¹ | 6,009 | 7,391 | 13,400 | 6,168 | 7,575 | 13,743 | 3% | | Less cash outflows in respect of capital expenditures, customer acquisiti</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ity Policy sets out standards for the way in which the HKT Limited Group should conduct its business to enhance its positive contribution to society and the environment. CORPORATE STRATEGY HKT integrates fixed-line, broa</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券商观点：t and HKT (HKG:6823) Revenue Skip to main content Log In Sign Up Home Watchlist Stocks Stock Screener Stock Exchanges Comparison Tool Earnings Calendar By Industry Stock Lists Top Analysts Top Stocks Corporate Actions IP</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4.92% in 2024 to an average of 4.30% in 2025. Hong Kong operations maintained a healthy financial position with cash and bank balances of HK$3,747 million as of 31 December 2025. Capital expenditure Capital expenditure o</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ng in a total of $859 million (first half of 2023/24: $881 million). This reduction is primarily attributable to lower depreciation charges on network equipment due to our prudent capital expenditure management and reduc</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surged from $10 million to $207 million, primarily driven by stronger EBITDA performance and lower finance costs. In consideration of the Company’s dividend policy and anticipated capital expenditure needs to drive long-</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two years until the end of 2016. Kwok continues: “The second item is to streamline our business. On the financial side we have defined our investment philosophy.” That includes a strategy that is “critical to our long-te</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券商观点：不适用（HGC为非上市主体）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不适用（HGC为非上市主体）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the Group does not expect any significant foreign currency exposure arising from the fluctuation of the US$/HK$ or HK$/US$ exchange rates. During the year ended 31 December 2024, capital expenditure on property, plant an</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