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8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ed (HKG:6823) Hong Kong · Delayed Price · Currency is HKD Full Chart Watchlist Alerts Compare 11.83 -0.14 (-1.17%) Jun 8, 2026, 2:15 PM HKT Overview Financials Forecast Statistics Dividends History Profile Chart Income S</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 | --- | --- | --- | | | H1 | H2 | Full Year | H1 | H2 | Full Year | | | Total EBITDA¹ | 6,009 | 7,391 | 13,400 | 6,168 | 7,575 | 13,743 | 3% | | Less cash outflows in respect of capital expenditures, customer acquisiti</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ity Policy sets out standards for the way in which the HKT Limited Group should conduct its business to enhance its positive contribution to society and the environment. CORPORATE STRATEGY HKT integrates fixed-line, broa</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券商观点：inancials &amp; Income Statement Skip to main content Log In Sign Up Home Watchlist Stocks Stock Screener Stock Exchanges Comparison Tool Earnings Calendar By Industry Stock Lists Top Analysts Top Stocks Corporate Actions IP</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attributable to shareholders (25) 6 –517% Earnings per share from Hong Kong operations (in HK cents) 0.37 0.64 –42% (Loss)/earnings per share (in HK cents) (0.52) 0.12 –517% Final dividend per share (in HK cents) 5.21 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4.92% in 2024 to an average of 4.30% in 2025. Hong Kong operations maintained a healthy financial position with cash and bank balances of HK$3,747 million as of 31 December 2025. Capital expenditure Capital expenditure o</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02 Aug 2010 2010 Interim Results Presentation 08 Mar 2010 2009 Annual Results Presentation 12 Aug 2009 2009 Interim Results Presentation Home About Us Overview Vision and Mission Strategy Board of Directors Senior Manage</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券商观点：onded to requests for Chief Financial Officer and information and queries from the investment community including shareholders, Investor Relations Department) potential investors, analysts and the media through regular b</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s moving to Hong Kong, leveraging on SHKP's strong presence and brand in Hong Kong and major Mainland cities, and a shared commitment to deliver exceptional customer satisfaction. Dividend The Board declared an interim d</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sulting in a total of $828 million (first half of 2024/25: $859 million). This reduction is primarily attributable to lower depreciation charges on fixed assets due to our prudent capital expenditure management and reduc</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dge+ UOB Art Academy, transforming a heritage property into a connected arts venue through smart building solutions. INTERIM REPORT 2025/26 BUSINESS HIGHLIGHTS 3. Customer-Centric Strategy Building on our leadership in n</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券商观点：meaningful time and cost efficiencies. Powered by multiple large language models, our enterprise AI agent platform enhances staff productivity by streamlining workflows and accelerating content creation and analysis – re</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newsroom/press-releases/20251031_FY25_Annual_Results Press Releases | HKBN Press release HKBN Announces FY2025 Annual Results Net Profit Soars with Strong EBITDA Growth, Sustained Dividend Distribution (Hong Kong – 31 Oc</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surged from $10 million to $207 million, primarily driven by stronger EBITDA performance and lower finance costs. In consideration of the Company’s dividend policy and anticipated capital expenditure needs to drive long-</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lications such as generative AI, cloud computing, and ultra-high-definition video, further strengthening its competitive edge. Residential Solutions: Deepening the “Infinite-Play” Strategy, Enhancing User Value The Resid</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券商观点：ture-ready capabilities in computing power, AI, information security and privacy protection. Our new strategic direction will significantly enhance our service capabilities, accelerating both business transformation and</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two years until the end of 2016. Kwok continues: “The second item is to streamline our business. On the financial side we have defined our investment philosophy.” That includes a strategy that is “critical to our long-te</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券商观点：不适用（HGC为非上市主体）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不适用（HGC为非上市主体）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(c) 於該要求所關乎的股東週年大會舉行不少於六個星期之前送抵本公司；或（如在上述時間之後送抵本公司的話）該股東週年大會的通知發出之時。 股東根據《公司條例》第566條及第615條而向本公司提出的任何書面要求必須送達本公司註冊辦事處。 有線寬頻通訊有限公司 二零二四年年報 105 Corporate Governance Report 企業管治報告 (M) DIVIDEND POLICY The Board has adopted a</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the Group does not expect any significant foreign currency exposure arising from the fluctuation of the US$/HK$ or HK$/US$ exchange rates. During the year ended 31 December 2024, capital expenditure on property, plant an</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multimedia content producers, we produce high-quality programmes focusing on news information, entertainment and sports, which are distributed across omnimedia platforms. BUSINESS STRATEGY The Group endeavours to improve</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券商观点：inancials &amp; Income Statement Skip to main content Log In Sign Up Home Watchlist Stocks Stock Screener Stock Exchanges Comparison Tool Earnings Calendar By Industry Stock Lists Top Analysts Top Stocks Corporate Actions IP</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