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2.【频谱拍卖】频谱拍卖：2.5/2.6 GHz, 850/900 MHz, 2.3 GHz, 6/7 GHz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3.【频谱/牌照】香港本地监管/政策频谱/牌照：2.5/2.6 GHz, 850/900 MHz and 2.3 GHz, 6/7 GHz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4.【低空经济】低空经济：推动低空经济生态系统发展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13.【AI】Airtel AI：Airtel投资Nxtra以推动AI数据中心扩张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14.【AI】SK Telecom AI：SK Telecom在MWC26发布AI原生战略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15.【AI】SoftBank AI：SoftBank提出面向AI时代的电信AI云愿景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16.【云】Airtel云：印度数据中心行业因云服务采用增长而快速发展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重大政策/声明方面，中国发布加强私募投资基金监管指导意见。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二、频谱拍卖：2.5/2.6 GHz, 850/900 MHz, 2.3 GHz, 6/7 GHz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频谱拍卖方面，2.5/2.6 GHz, 850/900 MHz, 2.3 GHz, 6/7 GHz。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三、香港本地监管/政策频谱/牌照：2.5/2.6 GHz, 850/900 MHz and 2.3 GHz, 6/7 GHz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香港本地监管/政策频谱/牌照方面，2.5/2.6 GHz, 850/900 MHz and 2.3 GHz, 6/7 GHz。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四、低空经济：推动低空经济生态系统发展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低空经济方面，推动低空经济生态系统发展。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十三、Airtel AI：Airtel投资Nxtra以推动AI数据中心扩张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AI方面，Airtel投资Nxtra以推动AI数据中心扩张。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十四、SK Telecom AI：SK Telecom在MWC26发布AI原生战略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AI方面，SK Telecom在MWC26发布AI原生战略。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十五、SoftBank AI：SoftBank提出面向AI时代的电信AI云愿景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SoftBank AI方面，SoftBank提出面向AI时代的电信AI云愿景。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十六、Airtel云：印度数据中心行业因云服务采用增长而快速发展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Airtel云方面，印度数据中心行业因云服务采用增长而快速发展。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