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4.【经济】经济：中国服务贸易前4个月增长4.9%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13.【AI】SK Telecom AI：SK Telecom在MWC26发布AI原生战略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14.【AI】SoftBank AI：SoftBank Corp. to Launch Generative AI Services Usi…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15.【云】SK Telecom云：计划使用NVIDIA DSX平台建设千兆瓦级AI云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16.【云】SoftBank云：SoftBank Corp. to Launch Generative AI Services Usi…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GHz, 850/900 MHz, 2.3 GHz, 6/7 GHz。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香港本地监管/政策频谱/牌照方面，2.5/2.6 GHz, 850/900 MHz and 2.3 GHz, 6/7 GHz。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四、经济：中国服务贸易前4个月增长4.9%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经济方面，中国服务贸易前4个月增长4.9%。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 AI：SK Telecom在MWC26发布AI原生战略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Telecom在MWC26发布AI原生战略。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十四、SoftBank AI：SoftBank Corp. to Launch Generative AI Services Usi…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 Corp. to Launch Generative AI Services Using Homegrown LLM "Sarashina" on 云 PF Type A with Oracle Alloy from June 2026。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十五、SK Telecom云：计划使用NVIDIA DSX平台建设千兆瓦级AI云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Telecom云方面，计划使用NVIDIA DSX平台建设千兆瓦级AI云。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十六、SoftBank云：SoftBank Corp. to Launch Generative AI Services Usi…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SoftBank云方面，SoftBank Corp. to Launch Generative AI Services Using Homegrown LLM "Sarashina" on 云 PF Type A with Oracle Alloy from June 2026。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