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4.【经济】经济：中国服务贸易前4个月增长4.9%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13.【AI】SK Telecom AI：SK Telecom在MWC 2026发布AI原生战略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14.【AI】SoftBank AI：SoftBank将于2026年6月推出基于自研大语言模型Sarashina的生成式AI服务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15.【云】SK Telecom云：计划使用NVIDIA DSX平台建设千兆瓦级AI云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16.【云】SoftBank云：SoftBank将于2026年6月推出基于自研大语言模型Sarashina的生成式AI服务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GHz, 850/900 MHz, 2.3 GHz, 6/7 GHz。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香港本地监管/政策频谱/牌照方面，2.5/2.6 GHz, 850/900 MHz and 2.3 GHz, 6/7 GHz。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四、经济：中国服务贸易前4个月增长4.9%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经济方面，中国服务贸易前4个月增长4.9%。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 AI：SK Telecom在MWC 2026发布AI原生战略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Telecom在MWC 2026发布AI原生战略。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十四、SoftBank AI：SoftBank将于2026年6月推出基于自研大语言模型Sarashina的生成式AI服务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AI方面，SoftBank将于2026年6月推出基于自研大语言模型Sarashina的生成式AI服务。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十五、SK Telecom云：计划使用NVIDIA DSX平台建设千兆瓦级AI云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Telecom云方面，计划使用NVIDIA DSX平台建设千兆瓦级AI云。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十六、SoftBank云：SoftBank将于2026年6月推出基于自研大语言模型Sarashina的生成式AI服务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SoftBank云方面，SoftBank将于2026年6月推出基于自研大语言模型Sarashina的生成式AI服务。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