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7A724" w14:textId="77777777" w:rsidR="00394201" w:rsidRDefault="002E2042">
      <w:pPr>
        <w:snapToGrid w:val="0"/>
        <w:spacing w:beforeLines="50" w:before="180" w:line="360" w:lineRule="auto"/>
        <w:ind w:firstLineChars="200" w:firstLine="803"/>
        <w:jc w:val="center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pPr>
      <w:bookmarkStart w:id="0" w:name="OLE_LINK2"/>
      <w:bookmarkStart w:id="1" w:name="OLE_LINK1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各家运营商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2</w:t>
      </w:r>
      <w:r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  <w:t>025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年关键业绩摘要</w:t>
      </w:r>
    </w:p>
    <w:bookmarkEnd w:id="0"/>
    <w:bookmarkEnd w:id="1"/>
    <w:p w14:paraId="499EED94" w14:textId="77777777" w:rsidR="00394201" w:rsidRDefault="002E2042">
      <w:pPr>
        <w:pStyle w:val="a3"/>
        <w:spacing w:before="0" w:after="0" w:line="312" w:lineRule="auto"/>
        <w:jc w:val="center"/>
        <w:rPr>
          <w:rFonts w:ascii="FangSong" w:eastAsia="FangSong" w:hAnsi="FangSong"/>
          <w:sz w:val="28"/>
          <w:lang w:eastAsia="zh-CN"/>
        </w:rPr>
      </w:pPr>
      <w:r>
        <w:rPr>
          <w:rFonts w:ascii="FangSong" w:eastAsia="FangSong" w:hAnsi="FangSong" w:hint="eastAsia"/>
          <w:sz w:val="28"/>
          <w:lang w:eastAsia="zh-CN"/>
        </w:rPr>
        <w:t>战略部（智库）对</w:t>
      </w:r>
      <w:proofErr w:type="gramStart"/>
      <w:r>
        <w:rPr>
          <w:rFonts w:ascii="FangSong" w:eastAsia="FangSong" w:hAnsi="FangSong" w:hint="eastAsia"/>
          <w:sz w:val="28"/>
          <w:lang w:eastAsia="zh-CN"/>
        </w:rPr>
        <w:t>标分析</w:t>
      </w:r>
      <w:proofErr w:type="gramEnd"/>
      <w:r>
        <w:rPr>
          <w:rFonts w:ascii="FangSong" w:eastAsia="FangSong" w:hAnsi="FangSong" w:hint="eastAsia"/>
          <w:sz w:val="28"/>
          <w:lang w:eastAsia="zh-CN"/>
        </w:rPr>
        <w:t>简报</w:t>
      </w:r>
    </w:p>
    <w:p w14:paraId="5066AAE1" w14:textId="77777777" w:rsidR="00394201" w:rsidRDefault="002E2042">
      <w:pPr>
        <w:snapToGrid w:val="0"/>
        <w:spacing w:before="60" w:line="312" w:lineRule="auto"/>
        <w:ind w:firstLineChars="200" w:firstLine="560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截至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月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日，中国移动、中国电信、中国联通及中国铁塔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财年业绩均已发布。现结合公开披露数据、业绩公告及券商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研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报，将各家运营商</w:t>
      </w:r>
      <w:bookmarkStart w:id="2" w:name="_Hlk225772476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年关键业绩数据</w:t>
      </w:r>
      <w:bookmarkEnd w:id="2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与资本市场反应摘要如下，供内部决策参考。</w:t>
      </w:r>
    </w:p>
    <w:p w14:paraId="3FB884F8" w14:textId="77777777" w:rsidR="00394201" w:rsidRDefault="002E2042">
      <w:pPr>
        <w:spacing w:line="312" w:lineRule="auto"/>
        <w:jc w:val="center"/>
        <w:rPr>
          <w:rFonts w:ascii="FangSong" w:eastAsia="FangSong" w:hAnsi="FangSong"/>
          <w:b/>
          <w:sz w:val="32"/>
          <w:lang w:eastAsia="zh-CN"/>
        </w:rPr>
      </w:pPr>
      <w:r>
        <w:rPr>
          <w:rFonts w:ascii="FangSong" w:eastAsia="FangSong" w:hAnsi="FangSong" w:hint="eastAsia"/>
          <w:b/>
          <w:sz w:val="32"/>
          <w:lang w:eastAsia="zh-CN"/>
        </w:rPr>
        <w:t>表：各家运营商</w:t>
      </w:r>
      <w:r>
        <w:rPr>
          <w:rFonts w:ascii="FangSong" w:eastAsia="FangSong" w:hAnsi="FangSong"/>
          <w:b/>
          <w:sz w:val="32"/>
          <w:lang w:eastAsia="zh-CN"/>
        </w:rPr>
        <w:t>2025</w:t>
      </w:r>
      <w:r>
        <w:rPr>
          <w:rFonts w:ascii="FangSong" w:eastAsia="FangSong" w:hAnsi="FangSong" w:hint="eastAsia"/>
          <w:b/>
          <w:sz w:val="32"/>
          <w:lang w:eastAsia="zh-CN"/>
        </w:rPr>
        <w:t>年关键业绩数据汇总</w:t>
      </w:r>
    </w:p>
    <w:tbl>
      <w:tblPr>
        <w:tblStyle w:val="ad"/>
        <w:tblW w:w="8818" w:type="dxa"/>
        <w:jc w:val="center"/>
        <w:tblLook w:val="04A0" w:firstRow="1" w:lastRow="0" w:firstColumn="1" w:lastColumn="0" w:noHBand="0" w:noVBand="1"/>
      </w:tblPr>
      <w:tblGrid>
        <w:gridCol w:w="2701"/>
        <w:gridCol w:w="1382"/>
        <w:gridCol w:w="1382"/>
        <w:gridCol w:w="1383"/>
        <w:gridCol w:w="1970"/>
      </w:tblGrid>
      <w:tr w:rsidR="00BA3003" w14:paraId="58BB608A" w14:textId="77777777" w:rsidTr="00BA3003">
        <w:trPr>
          <w:trHeight w:val="569"/>
          <w:jc w:val="center"/>
        </w:trPr>
        <w:tc>
          <w:tcPr>
            <w:tcW w:w="2701" w:type="dxa"/>
          </w:tcPr>
          <w:p w14:paraId="3911FFC1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</w:p>
        </w:tc>
        <w:tc>
          <w:tcPr>
            <w:tcW w:w="1382" w:type="dxa"/>
          </w:tcPr>
          <w:p w14:paraId="028D5D91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snapToGrid w:val="0"/>
                <w:kern w:val="24"/>
                <w:szCs w:val="24"/>
                <w:lang w:eastAsia="zh-CN"/>
              </w:rPr>
              <w:t>中国移动</w:t>
            </w:r>
          </w:p>
        </w:tc>
        <w:tc>
          <w:tcPr>
            <w:tcW w:w="1382" w:type="dxa"/>
          </w:tcPr>
          <w:p w14:paraId="044B3DF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snapToGrid w:val="0"/>
                <w:kern w:val="24"/>
                <w:szCs w:val="24"/>
                <w:lang w:eastAsia="zh-CN"/>
              </w:rPr>
              <w:t>中国电信</w:t>
            </w:r>
          </w:p>
        </w:tc>
        <w:tc>
          <w:tcPr>
            <w:tcW w:w="1383" w:type="dxa"/>
          </w:tcPr>
          <w:p w14:paraId="55953913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snapToGrid w:val="0"/>
                <w:kern w:val="24"/>
                <w:szCs w:val="24"/>
                <w:lang w:eastAsia="zh-CN"/>
              </w:rPr>
              <w:t>中国联通</w:t>
            </w:r>
          </w:p>
        </w:tc>
        <w:tc>
          <w:tcPr>
            <w:tcW w:w="1970" w:type="dxa"/>
          </w:tcPr>
          <w:p w14:paraId="6F069116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/>
                <w:bCs/>
                <w:snapToGrid w:val="0"/>
                <w:kern w:val="24"/>
                <w:szCs w:val="24"/>
                <w:lang w:eastAsia="zh-CN"/>
              </w:rPr>
              <w:t>中国铁塔</w:t>
            </w:r>
          </w:p>
        </w:tc>
      </w:tr>
      <w:tr w:rsidR="00BA3003" w14:paraId="724C57C1" w14:textId="77777777" w:rsidTr="00BA3003">
        <w:trPr>
          <w:trHeight w:val="977"/>
          <w:jc w:val="center"/>
        </w:trPr>
        <w:tc>
          <w:tcPr>
            <w:tcW w:w="2701" w:type="dxa"/>
          </w:tcPr>
          <w:p w14:paraId="2773661A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营业收入（亿元）</w:t>
            </w:r>
          </w:p>
        </w:tc>
        <w:tc>
          <w:tcPr>
            <w:tcW w:w="1382" w:type="dxa"/>
          </w:tcPr>
          <w:p w14:paraId="60AE986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10502 </w:t>
            </w:r>
          </w:p>
          <w:p w14:paraId="1120B05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0.9%</w:t>
            </w:r>
          </w:p>
        </w:tc>
        <w:tc>
          <w:tcPr>
            <w:tcW w:w="1382" w:type="dxa"/>
          </w:tcPr>
          <w:p w14:paraId="55821A3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5296</w:t>
            </w:r>
          </w:p>
          <w:p w14:paraId="2E1AAD1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0.03%</w:t>
            </w:r>
          </w:p>
        </w:tc>
        <w:tc>
          <w:tcPr>
            <w:tcW w:w="1383" w:type="dxa"/>
          </w:tcPr>
          <w:p w14:paraId="4C475F7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3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922</w:t>
            </w:r>
          </w:p>
          <w:p w14:paraId="506FF66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0.7%</w:t>
            </w:r>
          </w:p>
        </w:tc>
        <w:tc>
          <w:tcPr>
            <w:tcW w:w="1970" w:type="dxa"/>
          </w:tcPr>
          <w:p w14:paraId="05CC9EEC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004</w:t>
            </w:r>
          </w:p>
          <w:p w14:paraId="0F2F285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+2.7%</w:t>
            </w:r>
          </w:p>
        </w:tc>
      </w:tr>
      <w:tr w:rsidR="00BA3003" w14:paraId="21098F54" w14:textId="77777777" w:rsidTr="00BA3003">
        <w:trPr>
          <w:trHeight w:val="1215"/>
          <w:jc w:val="center"/>
        </w:trPr>
        <w:tc>
          <w:tcPr>
            <w:tcW w:w="2701" w:type="dxa"/>
          </w:tcPr>
          <w:p w14:paraId="6CB0B0DB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主营业务收入（亿元）</w:t>
            </w:r>
          </w:p>
        </w:tc>
        <w:tc>
          <w:tcPr>
            <w:tcW w:w="1382" w:type="dxa"/>
          </w:tcPr>
          <w:p w14:paraId="020C923F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8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955</w:t>
            </w:r>
          </w:p>
          <w:p w14:paraId="517DB04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0.7%</w:t>
            </w:r>
          </w:p>
        </w:tc>
        <w:tc>
          <w:tcPr>
            <w:tcW w:w="1382" w:type="dxa"/>
          </w:tcPr>
          <w:p w14:paraId="0A663726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4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854</w:t>
            </w:r>
          </w:p>
          <w:p w14:paraId="5DE165CB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0.7%</w:t>
            </w:r>
          </w:p>
        </w:tc>
        <w:tc>
          <w:tcPr>
            <w:tcW w:w="1383" w:type="dxa"/>
          </w:tcPr>
          <w:p w14:paraId="26CF321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3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477</w:t>
            </w:r>
          </w:p>
          <w:p w14:paraId="2B0B0533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0.5%</w:t>
            </w:r>
          </w:p>
        </w:tc>
        <w:tc>
          <w:tcPr>
            <w:tcW w:w="1970" w:type="dxa"/>
          </w:tcPr>
          <w:p w14:paraId="60D330F2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运营</w:t>
            </w:r>
            <w:proofErr w:type="gramStart"/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商业务</w:t>
            </w:r>
            <w:proofErr w:type="gramEnd"/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收入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 847.25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亿元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 +0.7%</w:t>
            </w:r>
          </w:p>
        </w:tc>
      </w:tr>
      <w:tr w:rsidR="00BA3003" w14:paraId="4BC2B377" w14:textId="77777777" w:rsidTr="00BA3003">
        <w:trPr>
          <w:trHeight w:val="912"/>
          <w:jc w:val="center"/>
        </w:trPr>
        <w:tc>
          <w:tcPr>
            <w:tcW w:w="2701" w:type="dxa"/>
          </w:tcPr>
          <w:p w14:paraId="75CF89DC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E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BITDA(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亿元)</w:t>
            </w:r>
          </w:p>
        </w:tc>
        <w:tc>
          <w:tcPr>
            <w:tcW w:w="1382" w:type="dxa"/>
          </w:tcPr>
          <w:p w14:paraId="5516820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3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389</w:t>
            </w:r>
          </w:p>
          <w:p w14:paraId="35E8BBC7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+1.6%</w:t>
            </w:r>
          </w:p>
        </w:tc>
        <w:tc>
          <w:tcPr>
            <w:tcW w:w="1382" w:type="dxa"/>
          </w:tcPr>
          <w:p w14:paraId="7646534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439</w:t>
            </w:r>
          </w:p>
          <w:p w14:paraId="3C7888B3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2.1%</w:t>
            </w:r>
          </w:p>
        </w:tc>
        <w:tc>
          <w:tcPr>
            <w:tcW w:w="1383" w:type="dxa"/>
          </w:tcPr>
          <w:p w14:paraId="75C6B991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9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94</w:t>
            </w:r>
          </w:p>
          <w:p w14:paraId="772118D6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0%</w:t>
            </w:r>
          </w:p>
        </w:tc>
        <w:tc>
          <w:tcPr>
            <w:tcW w:w="1970" w:type="dxa"/>
          </w:tcPr>
          <w:p w14:paraId="2C4D64D8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658.14 </w:t>
            </w:r>
          </w:p>
          <w:p w14:paraId="4DE2B41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-1.1%</w:t>
            </w:r>
          </w:p>
        </w:tc>
      </w:tr>
      <w:tr w:rsidR="00BA3003" w14:paraId="7045117A" w14:textId="77777777" w:rsidTr="00BA3003">
        <w:trPr>
          <w:trHeight w:val="1089"/>
          <w:jc w:val="center"/>
        </w:trPr>
        <w:tc>
          <w:tcPr>
            <w:tcW w:w="2701" w:type="dxa"/>
          </w:tcPr>
          <w:p w14:paraId="076BC176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proofErr w:type="gramStart"/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归母净利润</w:t>
            </w:r>
            <w:proofErr w:type="gramEnd"/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（亿元）</w:t>
            </w:r>
          </w:p>
        </w:tc>
        <w:tc>
          <w:tcPr>
            <w:tcW w:w="1382" w:type="dxa"/>
          </w:tcPr>
          <w:p w14:paraId="12CBC7B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1371</w:t>
            </w:r>
          </w:p>
          <w:p w14:paraId="4BE98E8E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-0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.9%</w:t>
            </w:r>
          </w:p>
        </w:tc>
        <w:tc>
          <w:tcPr>
            <w:tcW w:w="1382" w:type="dxa"/>
          </w:tcPr>
          <w:p w14:paraId="3EFDC3E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332</w:t>
            </w:r>
          </w:p>
          <w:p w14:paraId="5A0EAA63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0.5%</w:t>
            </w:r>
          </w:p>
        </w:tc>
        <w:tc>
          <w:tcPr>
            <w:tcW w:w="1383" w:type="dxa"/>
          </w:tcPr>
          <w:p w14:paraId="5CC6E13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91</w:t>
            </w:r>
          </w:p>
          <w:p w14:paraId="7FAB78C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1.1%</w:t>
            </w:r>
          </w:p>
        </w:tc>
        <w:tc>
          <w:tcPr>
            <w:tcW w:w="1970" w:type="dxa"/>
          </w:tcPr>
          <w:p w14:paraId="32EA42F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16</w:t>
            </w:r>
          </w:p>
          <w:p w14:paraId="3F0E51D2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+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8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.4%</w:t>
            </w:r>
          </w:p>
        </w:tc>
      </w:tr>
      <w:tr w:rsidR="00BA3003" w14:paraId="788B3B0A" w14:textId="77777777" w:rsidTr="00BA3003">
        <w:trPr>
          <w:trHeight w:val="569"/>
          <w:jc w:val="center"/>
        </w:trPr>
        <w:tc>
          <w:tcPr>
            <w:tcW w:w="2701" w:type="dxa"/>
          </w:tcPr>
          <w:p w14:paraId="24BC7586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净利率</w:t>
            </w:r>
          </w:p>
        </w:tc>
        <w:tc>
          <w:tcPr>
            <w:tcW w:w="1382" w:type="dxa"/>
          </w:tcPr>
          <w:p w14:paraId="6CF5676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13.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%</w:t>
            </w:r>
          </w:p>
        </w:tc>
        <w:tc>
          <w:tcPr>
            <w:tcW w:w="1382" w:type="dxa"/>
          </w:tcPr>
          <w:p w14:paraId="1D8DA0F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6.3%</w:t>
            </w:r>
          </w:p>
        </w:tc>
        <w:tc>
          <w:tcPr>
            <w:tcW w:w="1383" w:type="dxa"/>
          </w:tcPr>
          <w:p w14:paraId="5D64A142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2.3%</w:t>
            </w:r>
          </w:p>
        </w:tc>
        <w:tc>
          <w:tcPr>
            <w:tcW w:w="1970" w:type="dxa"/>
          </w:tcPr>
          <w:p w14:paraId="109BCF96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1.6%</w:t>
            </w:r>
          </w:p>
        </w:tc>
      </w:tr>
      <w:tr w:rsidR="00BA3003" w14:paraId="10705560" w14:textId="77777777" w:rsidTr="00BA3003">
        <w:trPr>
          <w:trHeight w:val="601"/>
          <w:jc w:val="center"/>
        </w:trPr>
        <w:tc>
          <w:tcPr>
            <w:tcW w:w="2701" w:type="dxa"/>
          </w:tcPr>
          <w:p w14:paraId="03493B0A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资本开支（亿元）</w:t>
            </w:r>
          </w:p>
        </w:tc>
        <w:tc>
          <w:tcPr>
            <w:tcW w:w="1382" w:type="dxa"/>
          </w:tcPr>
          <w:p w14:paraId="392C3434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1509</w:t>
            </w:r>
          </w:p>
          <w:p w14:paraId="359A752F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-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8.0%</w:t>
            </w:r>
          </w:p>
        </w:tc>
        <w:tc>
          <w:tcPr>
            <w:tcW w:w="1382" w:type="dxa"/>
          </w:tcPr>
          <w:p w14:paraId="51A0DC0E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804</w:t>
            </w:r>
          </w:p>
          <w:p w14:paraId="018E4E8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-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14.0%</w:t>
            </w:r>
          </w:p>
        </w:tc>
        <w:tc>
          <w:tcPr>
            <w:tcW w:w="1383" w:type="dxa"/>
          </w:tcPr>
          <w:p w14:paraId="28DAD263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542</w:t>
            </w:r>
          </w:p>
          <w:p w14:paraId="4B67BC07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-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11.7%</w:t>
            </w:r>
          </w:p>
        </w:tc>
        <w:tc>
          <w:tcPr>
            <w:tcW w:w="1970" w:type="dxa"/>
          </w:tcPr>
          <w:p w14:paraId="5CD3FF1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295</w:t>
            </w:r>
          </w:p>
          <w:p w14:paraId="65A545B6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-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7.7%</w:t>
            </w:r>
          </w:p>
        </w:tc>
      </w:tr>
      <w:tr w:rsidR="00BA3003" w14:paraId="6F9B501E" w14:textId="77777777" w:rsidTr="00BA3003">
        <w:trPr>
          <w:trHeight w:val="569"/>
          <w:jc w:val="center"/>
        </w:trPr>
        <w:tc>
          <w:tcPr>
            <w:tcW w:w="2701" w:type="dxa"/>
          </w:tcPr>
          <w:p w14:paraId="56DDAA67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资本开支2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026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年计划（亿元）</w:t>
            </w:r>
          </w:p>
        </w:tc>
        <w:tc>
          <w:tcPr>
            <w:tcW w:w="1382" w:type="dxa"/>
          </w:tcPr>
          <w:p w14:paraId="10DF2868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366</w:t>
            </w:r>
          </w:p>
        </w:tc>
        <w:tc>
          <w:tcPr>
            <w:tcW w:w="1382" w:type="dxa"/>
          </w:tcPr>
          <w:p w14:paraId="5C1DE257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7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30</w:t>
            </w:r>
          </w:p>
        </w:tc>
        <w:tc>
          <w:tcPr>
            <w:tcW w:w="1383" w:type="dxa"/>
          </w:tcPr>
          <w:p w14:paraId="0181052B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5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00</w:t>
            </w:r>
          </w:p>
        </w:tc>
        <w:tc>
          <w:tcPr>
            <w:tcW w:w="1970" w:type="dxa"/>
          </w:tcPr>
          <w:p w14:paraId="4DAFE2C4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未披露</w:t>
            </w:r>
          </w:p>
        </w:tc>
      </w:tr>
      <w:tr w:rsidR="00BA3003" w14:paraId="433CAB3D" w14:textId="77777777" w:rsidTr="00BA3003">
        <w:trPr>
          <w:trHeight w:val="569"/>
          <w:jc w:val="center"/>
        </w:trPr>
        <w:tc>
          <w:tcPr>
            <w:tcW w:w="2701" w:type="dxa"/>
          </w:tcPr>
          <w:p w14:paraId="4087F9D3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移动用户数（亿户）</w:t>
            </w:r>
          </w:p>
        </w:tc>
        <w:tc>
          <w:tcPr>
            <w:tcW w:w="1382" w:type="dxa"/>
          </w:tcPr>
          <w:p w14:paraId="3B87E51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1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0.05 </w:t>
            </w:r>
          </w:p>
        </w:tc>
        <w:tc>
          <w:tcPr>
            <w:tcW w:w="1382" w:type="dxa"/>
          </w:tcPr>
          <w:p w14:paraId="676CDAED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4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.39 </w:t>
            </w:r>
          </w:p>
        </w:tc>
        <w:tc>
          <w:tcPr>
            <w:tcW w:w="1383" w:type="dxa"/>
          </w:tcPr>
          <w:p w14:paraId="5617B70C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highlight w:val="yellow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3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.57 </w:t>
            </w:r>
          </w:p>
        </w:tc>
        <w:tc>
          <w:tcPr>
            <w:tcW w:w="1970" w:type="dxa"/>
          </w:tcPr>
          <w:p w14:paraId="66D63859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 xml:space="preserve">不涉及 </w:t>
            </w:r>
          </w:p>
        </w:tc>
      </w:tr>
      <w:tr w:rsidR="00BA3003" w14:paraId="3C2B5CD4" w14:textId="77777777" w:rsidTr="00BA3003">
        <w:trPr>
          <w:trHeight w:val="569"/>
          <w:jc w:val="center"/>
        </w:trPr>
        <w:tc>
          <w:tcPr>
            <w:tcW w:w="2701" w:type="dxa"/>
          </w:tcPr>
          <w:p w14:paraId="09821523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5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G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网络用户数（亿户）</w:t>
            </w:r>
          </w:p>
        </w:tc>
        <w:tc>
          <w:tcPr>
            <w:tcW w:w="1382" w:type="dxa"/>
          </w:tcPr>
          <w:p w14:paraId="5E718840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6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.42 </w:t>
            </w:r>
          </w:p>
        </w:tc>
        <w:tc>
          <w:tcPr>
            <w:tcW w:w="1382" w:type="dxa"/>
          </w:tcPr>
          <w:p w14:paraId="4484E35B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3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.02</w:t>
            </w:r>
          </w:p>
        </w:tc>
        <w:tc>
          <w:tcPr>
            <w:tcW w:w="1383" w:type="dxa"/>
          </w:tcPr>
          <w:p w14:paraId="3912E74F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2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 xml:space="preserve">.32 </w:t>
            </w:r>
          </w:p>
        </w:tc>
        <w:tc>
          <w:tcPr>
            <w:tcW w:w="1970" w:type="dxa"/>
          </w:tcPr>
          <w:p w14:paraId="2540A5F5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不涉及</w:t>
            </w:r>
          </w:p>
        </w:tc>
      </w:tr>
      <w:tr w:rsidR="00BA3003" w14:paraId="554C3DD1" w14:textId="77777777" w:rsidTr="00BA3003">
        <w:trPr>
          <w:trHeight w:val="50"/>
          <w:jc w:val="center"/>
        </w:trPr>
        <w:tc>
          <w:tcPr>
            <w:tcW w:w="2701" w:type="dxa"/>
          </w:tcPr>
          <w:p w14:paraId="66950D07" w14:textId="77777777" w:rsidR="00BA3003" w:rsidRDefault="00BA3003">
            <w:pPr>
              <w:snapToGrid w:val="0"/>
              <w:spacing w:before="60" w:line="312" w:lineRule="auto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5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G</w:t>
            </w: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网络渗透率</w:t>
            </w:r>
          </w:p>
        </w:tc>
        <w:tc>
          <w:tcPr>
            <w:tcW w:w="1382" w:type="dxa"/>
          </w:tcPr>
          <w:p w14:paraId="7F21A17A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6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3.9%</w:t>
            </w:r>
          </w:p>
        </w:tc>
        <w:tc>
          <w:tcPr>
            <w:tcW w:w="1382" w:type="dxa"/>
          </w:tcPr>
          <w:p w14:paraId="483CC0A7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6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8.8%</w:t>
            </w:r>
          </w:p>
        </w:tc>
        <w:tc>
          <w:tcPr>
            <w:tcW w:w="1383" w:type="dxa"/>
          </w:tcPr>
          <w:p w14:paraId="5DB79FE8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6</w:t>
            </w:r>
            <w:r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  <w:t>5.0%</w:t>
            </w:r>
          </w:p>
        </w:tc>
        <w:tc>
          <w:tcPr>
            <w:tcW w:w="1970" w:type="dxa"/>
          </w:tcPr>
          <w:p w14:paraId="687E6DEE" w14:textId="77777777" w:rsidR="00BA3003" w:rsidRDefault="00BA3003">
            <w:pPr>
              <w:snapToGrid w:val="0"/>
              <w:spacing w:before="60" w:line="312" w:lineRule="auto"/>
              <w:jc w:val="center"/>
              <w:outlineLvl w:val="3"/>
              <w:rPr>
                <w:rFonts w:ascii="FangSong" w:eastAsia="FangSong" w:hAnsi="FangSong" w:cs="Times New Roman"/>
                <w:bCs/>
                <w:snapToGrid w:val="0"/>
                <w:kern w:val="24"/>
                <w:szCs w:val="24"/>
                <w:lang w:eastAsia="zh-CN"/>
              </w:rPr>
            </w:pPr>
            <w:r>
              <w:rPr>
                <w:rFonts w:ascii="FangSong" w:eastAsia="FangSong" w:hAnsi="FangSong" w:cs="Times New Roman" w:hint="eastAsia"/>
                <w:bCs/>
                <w:snapToGrid w:val="0"/>
                <w:kern w:val="24"/>
                <w:szCs w:val="24"/>
                <w:lang w:eastAsia="zh-CN"/>
              </w:rPr>
              <w:t>不涉及</w:t>
            </w:r>
          </w:p>
        </w:tc>
      </w:tr>
    </w:tbl>
    <w:p w14:paraId="47F3CC3F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lastRenderedPageBreak/>
        <w:t>中国移动（业绩说明会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  <w:t>3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月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2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  <w:t>6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日）关键摘要</w:t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t>Test item 0</w:t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t>Test item 1</w:t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t>Test item 2</w:t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t>Test item 3</w:t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t>Test item 4</w:t>
      </w:r>
    </w:p>
    <w:p w14:paraId="7C7E878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722B5EAC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22E239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5B0198D5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中国电信（业绩说明会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3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月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2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  <w:t>4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日）关键摘要</w:t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全年派息率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75%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，每股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0.2720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+4.7%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）。</w:t>
      </w:r>
    </w:p>
    <w:p w14:paraId="2324F82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年资本开支降至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730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亿元（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-9.2%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），但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算力基础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设施投资同比增长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26%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，达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255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亿元，占总开支比重升至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35%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</w:p>
    <w:p w14:paraId="722BF90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全面拥抱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AI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，战略从“云改数转”升级为“云改数转智惠”，以打造领先的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AI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服务商为目标，以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Token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服务为经营主线。</w:t>
      </w:r>
    </w:p>
    <w:p w14:paraId="65169C14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券商观点：基本维持原有评级。</w:t>
      </w:r>
    </w:p>
    <w:p w14:paraId="33994FCA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4BE59FF0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中银国际：盈利略低于预期，但看好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Token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、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智算中心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及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云安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全驱动增长，重申“买入”，目标价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7.85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港元。</w:t>
      </w:r>
    </w:p>
    <w:p w14:paraId="2797B837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摩根士丹利：去年第四季度业绩逊预期，但管理层对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年收入、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EBITDA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及利润增长给出正面指引，维持“与大市同步”，目标价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5.5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港元。</w:t>
      </w:r>
    </w:p>
    <w:p w14:paraId="59361E0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业绩说明会当日收盘价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4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.89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港元，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2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日收盘价为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4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.86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港元，股价整体维持稳定。</w:t>
      </w:r>
    </w:p>
    <w:p w14:paraId="45E42671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中国联通（业绩说明会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3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月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1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  <w:t>9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日）关键摘要</w:t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派发末期股息每股人民币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0.0523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元，连同已派发的中期股息每股人民币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0.1112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元，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年股息合计每股人民币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0.1635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元，同比提升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3.5%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</w:p>
    <w:p w14:paraId="5A053A13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年，中国联通抢抓新一轮科技和产业创新机遇，落实“人工智能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+”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行动，战略性新兴产业收入占比超过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86%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算力业务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收入占比超过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15%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、较上年提升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1.1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个百分点，人工智能业务收入同比增长超过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140%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年资本开支预计在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500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亿元左右，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其中算力投资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占比超过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35%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</w:p>
    <w:p w14:paraId="7449125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中国联通董事长董昕在业绩发布会上表示，“中国联通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30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余年的发展，从弱到强，从小到大，始终有明确、清晰的战略，并且聚焦战略确立非常明确的工作措施和赛道，在此基础上坚决地落实才有了今天的成绩。联通的目标就是，健康地、鲜活地活着。</w:t>
      </w:r>
    </w:p>
    <w:p w14:paraId="585E8070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券商观点：业绩逊于预期，市场信心削弱。</w:t>
      </w:r>
    </w:p>
    <w:p w14:paraId="1D918E5E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F976EF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19642B9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4AD5471D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3C722CDE" w14:textId="77777777" w:rsidR="00394201" w:rsidRDefault="002E2042">
      <w:pPr>
        <w:pStyle w:val="af"/>
        <w:numPr>
          <w:ilvl w:val="1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晨星：将公允价值预测从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10.6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港元下调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9%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至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9.6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港元，并维持“无护城河”评级，直指其资本回报率持续低于资本成本，核心业务盈利能力羸弱。</w:t>
      </w:r>
    </w:p>
    <w:p w14:paraId="2056DDDF" w14:textId="77777777" w:rsidR="00394201" w:rsidRDefault="002E2042">
      <w:pPr>
        <w:pStyle w:val="af"/>
        <w:numPr>
          <w:ilvl w:val="1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瑞银：予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 xml:space="preserve"> 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“中性”评级，目标价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8.1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港元。公司上季业绩、收入同比、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E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BITDA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同比与派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息率均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逊于预期，并表示由于联通业绩未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lastRenderedPageBreak/>
        <w:t>达预期，料市场将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作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出负面反应。市场忧虑增值税（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VAT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）继续令公司净利润受压，而派息比率逊于预期，更进一步削弱市场对其股息前景的信心。</w:t>
      </w:r>
    </w:p>
    <w:p w14:paraId="0D56653B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业绩公布后股价持续下降，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2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日收盘价为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7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.03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港元，相较于业绩说明会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3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月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1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9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日当日收盘价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7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.54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港元下滑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6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.8%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</w:p>
    <w:p w14:paraId="30392638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中国铁塔（业绩说明会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3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月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1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  <w:t>8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日）关键摘要</w:t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派发末期股息为每股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0.32539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元（税前），连同已派发的中期股息，全年股息合计为每股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0.45789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元（税前），全年可分配利润派息比率为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77%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。</w:t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财报显示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，中国铁塔深化“一体两翼”战略，即以面向通信行业的运营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商业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务为“一体”，以面向社会的智联业务和能源业务为“两翼。营业收入保持稳定增长，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2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025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年公司实现营业收入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1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004.11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亿元，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首次突破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1</w:t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  <w:t>000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亿元大关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，盈利能力持续增强，财务状况保持稳健。</w:t>
      </w:r>
    </w:p>
    <w:p w14:paraId="5A630C49" w14:textId="29031ACB" w:rsidR="00394201" w:rsidRDefault="00394201" w:rsidP="00BA3003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pPr>
      <w:bookmarkStart w:id="3" w:name="_GoBack"/>
      <w:bookmarkEnd w:id="3"/>
    </w:p>
    <w:sectPr w:rsidR="00394201">
      <w:footerReference w:type="default" r:id="rId8"/>
      <w:pgSz w:w="11906" w:h="16838"/>
      <w:pgMar w:top="1440" w:right="1531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CF131" w14:textId="77777777" w:rsidR="002E2042" w:rsidRDefault="002E2042">
      <w:r>
        <w:separator/>
      </w:r>
    </w:p>
  </w:endnote>
  <w:endnote w:type="continuationSeparator" w:id="0">
    <w:p w14:paraId="7DF90BE5" w14:textId="77777777" w:rsidR="002E2042" w:rsidRDefault="002E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汉仪仿宋KW"/>
    <w:panose1 w:val="0201060906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</w:sdtPr>
    <w:sdtEndPr/>
    <w:sdtContent>
      <w:p w14:paraId="5ED3F80B" w14:textId="77777777" w:rsidR="00394201" w:rsidRDefault="002E204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9A9DBB3" w14:textId="77777777" w:rsidR="00394201" w:rsidRDefault="003942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622A9" w14:textId="77777777" w:rsidR="002E2042" w:rsidRDefault="002E2042">
      <w:r>
        <w:separator/>
      </w:r>
    </w:p>
  </w:footnote>
  <w:footnote w:type="continuationSeparator" w:id="0">
    <w:p w14:paraId="61E0F990" w14:textId="77777777" w:rsidR="002E2042" w:rsidRDefault="002E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70ABD"/>
    <w:multiLevelType w:val="multilevel"/>
    <w:tmpl w:val="04170A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9956D2"/>
    <w:multiLevelType w:val="multilevel"/>
    <w:tmpl w:val="1F9956D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5BF6363"/>
    <w:multiLevelType w:val="multilevel"/>
    <w:tmpl w:val="45BF6363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1EF7C35"/>
    <w:multiLevelType w:val="multilevel"/>
    <w:tmpl w:val="51EF7C3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B940A4D"/>
    <w:multiLevelType w:val="multilevel"/>
    <w:tmpl w:val="5B940A4D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BB12EB"/>
    <w:multiLevelType w:val="multilevel"/>
    <w:tmpl w:val="5DBB12E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2225702"/>
    <w:multiLevelType w:val="multilevel"/>
    <w:tmpl w:val="72225702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3A3154"/>
    <w:multiLevelType w:val="multilevel"/>
    <w:tmpl w:val="743A315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016AF5"/>
    <w:multiLevelType w:val="multilevel"/>
    <w:tmpl w:val="75016AF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7F47FF"/>
    <w:multiLevelType w:val="multilevel"/>
    <w:tmpl w:val="767F47FF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80"/>
  <w:drawingGridHorizontalSpacing w:val="1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700"/>
    <w:rsid w:val="B4FE1CC7"/>
    <w:rsid w:val="D65F0366"/>
    <w:rsid w:val="DFAE3D4A"/>
    <w:rsid w:val="EF15C071"/>
    <w:rsid w:val="F4DF5194"/>
    <w:rsid w:val="F7FF56D3"/>
    <w:rsid w:val="FD77666E"/>
    <w:rsid w:val="FFCD9707"/>
    <w:rsid w:val="000365E5"/>
    <w:rsid w:val="00073E96"/>
    <w:rsid w:val="00074B7E"/>
    <w:rsid w:val="00081006"/>
    <w:rsid w:val="000C30BF"/>
    <w:rsid w:val="000C59F4"/>
    <w:rsid w:val="000F478D"/>
    <w:rsid w:val="001205E7"/>
    <w:rsid w:val="00153A7B"/>
    <w:rsid w:val="001563B9"/>
    <w:rsid w:val="00163934"/>
    <w:rsid w:val="00167CE0"/>
    <w:rsid w:val="0017432B"/>
    <w:rsid w:val="00182295"/>
    <w:rsid w:val="001A283F"/>
    <w:rsid w:val="001F3905"/>
    <w:rsid w:val="00260569"/>
    <w:rsid w:val="00271186"/>
    <w:rsid w:val="002A4456"/>
    <w:rsid w:val="002B09B3"/>
    <w:rsid w:val="002C1109"/>
    <w:rsid w:val="002D5422"/>
    <w:rsid w:val="002E2042"/>
    <w:rsid w:val="00304B2C"/>
    <w:rsid w:val="00313FCA"/>
    <w:rsid w:val="00333892"/>
    <w:rsid w:val="003636E1"/>
    <w:rsid w:val="00363DC9"/>
    <w:rsid w:val="00364278"/>
    <w:rsid w:val="003661ED"/>
    <w:rsid w:val="003800DF"/>
    <w:rsid w:val="0038542A"/>
    <w:rsid w:val="00394201"/>
    <w:rsid w:val="003B11B0"/>
    <w:rsid w:val="003C7B40"/>
    <w:rsid w:val="003D2577"/>
    <w:rsid w:val="00422CDB"/>
    <w:rsid w:val="00475AB2"/>
    <w:rsid w:val="00475E3C"/>
    <w:rsid w:val="00476D76"/>
    <w:rsid w:val="004A6E0C"/>
    <w:rsid w:val="004A7FEC"/>
    <w:rsid w:val="004C22C6"/>
    <w:rsid w:val="004C64DF"/>
    <w:rsid w:val="004D29B3"/>
    <w:rsid w:val="004D6737"/>
    <w:rsid w:val="004E573D"/>
    <w:rsid w:val="004F2838"/>
    <w:rsid w:val="005001D7"/>
    <w:rsid w:val="00500CF0"/>
    <w:rsid w:val="00507881"/>
    <w:rsid w:val="0052232F"/>
    <w:rsid w:val="0053358B"/>
    <w:rsid w:val="00541B4D"/>
    <w:rsid w:val="0055692C"/>
    <w:rsid w:val="005762C6"/>
    <w:rsid w:val="005C7273"/>
    <w:rsid w:val="006101EA"/>
    <w:rsid w:val="0066221C"/>
    <w:rsid w:val="00662DD1"/>
    <w:rsid w:val="00665E6A"/>
    <w:rsid w:val="00673609"/>
    <w:rsid w:val="006B2B3B"/>
    <w:rsid w:val="006C46EA"/>
    <w:rsid w:val="006D3885"/>
    <w:rsid w:val="00767264"/>
    <w:rsid w:val="00773929"/>
    <w:rsid w:val="00777485"/>
    <w:rsid w:val="00782529"/>
    <w:rsid w:val="00790718"/>
    <w:rsid w:val="007A0A74"/>
    <w:rsid w:val="007C3076"/>
    <w:rsid w:val="007D677D"/>
    <w:rsid w:val="00806979"/>
    <w:rsid w:val="008469C0"/>
    <w:rsid w:val="008A7647"/>
    <w:rsid w:val="008C7A6F"/>
    <w:rsid w:val="008D6965"/>
    <w:rsid w:val="008E3E9E"/>
    <w:rsid w:val="008E6C23"/>
    <w:rsid w:val="00905F44"/>
    <w:rsid w:val="00917E57"/>
    <w:rsid w:val="009238D6"/>
    <w:rsid w:val="00927674"/>
    <w:rsid w:val="00947F34"/>
    <w:rsid w:val="00951DE5"/>
    <w:rsid w:val="009A3A9A"/>
    <w:rsid w:val="009A422F"/>
    <w:rsid w:val="009D37EF"/>
    <w:rsid w:val="009E59C3"/>
    <w:rsid w:val="009E68FE"/>
    <w:rsid w:val="00A324D9"/>
    <w:rsid w:val="00A57E2E"/>
    <w:rsid w:val="00A9052A"/>
    <w:rsid w:val="00A91F4E"/>
    <w:rsid w:val="00AA090B"/>
    <w:rsid w:val="00AE0DA7"/>
    <w:rsid w:val="00B14554"/>
    <w:rsid w:val="00B14FFF"/>
    <w:rsid w:val="00B151C1"/>
    <w:rsid w:val="00B46A8E"/>
    <w:rsid w:val="00B6333A"/>
    <w:rsid w:val="00BA3003"/>
    <w:rsid w:val="00BE5500"/>
    <w:rsid w:val="00BE571C"/>
    <w:rsid w:val="00BE57C4"/>
    <w:rsid w:val="00BF0E56"/>
    <w:rsid w:val="00C35B70"/>
    <w:rsid w:val="00C574FC"/>
    <w:rsid w:val="00C63203"/>
    <w:rsid w:val="00C756FB"/>
    <w:rsid w:val="00CA720C"/>
    <w:rsid w:val="00CD0B58"/>
    <w:rsid w:val="00CE1479"/>
    <w:rsid w:val="00D04863"/>
    <w:rsid w:val="00D06E42"/>
    <w:rsid w:val="00D45101"/>
    <w:rsid w:val="00D47336"/>
    <w:rsid w:val="00D560D3"/>
    <w:rsid w:val="00D639E5"/>
    <w:rsid w:val="00D73F96"/>
    <w:rsid w:val="00D764F3"/>
    <w:rsid w:val="00D95100"/>
    <w:rsid w:val="00DD5BC6"/>
    <w:rsid w:val="00E21B7C"/>
    <w:rsid w:val="00E44DFB"/>
    <w:rsid w:val="00E62700"/>
    <w:rsid w:val="00E65610"/>
    <w:rsid w:val="00EB2E6C"/>
    <w:rsid w:val="00EE50A5"/>
    <w:rsid w:val="00F54222"/>
    <w:rsid w:val="00F83FFE"/>
    <w:rsid w:val="00FB0B49"/>
    <w:rsid w:val="00FC7F63"/>
    <w:rsid w:val="00FD1457"/>
    <w:rsid w:val="00FD3DFE"/>
    <w:rsid w:val="33F56AAA"/>
    <w:rsid w:val="57FC06AD"/>
    <w:rsid w:val="5FEB9984"/>
    <w:rsid w:val="7BD55BA6"/>
    <w:rsid w:val="7BE7181E"/>
    <w:rsid w:val="7FFA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CD062"/>
  <w15:docId w15:val="{F2E78B9B-3439-4AD8-BB2A-BFF4B54F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spacing w:before="180" w:after="180"/>
    </w:pPr>
    <w:rPr>
      <w:kern w:val="0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</w:pPr>
    <w:rPr>
      <w:sz w:val="20"/>
      <w:szCs w:val="20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qFormat/>
    <w:rPr>
      <w:sz w:val="20"/>
      <w:szCs w:val="20"/>
    </w:rPr>
  </w:style>
  <w:style w:type="paragraph" w:styleId="af">
    <w:name w:val="List Paragraph"/>
    <w:basedOn w:val="a"/>
    <w:uiPriority w:val="34"/>
    <w:qFormat/>
    <w:pPr>
      <w:ind w:leftChars="200" w:left="48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ac">
    <w:name w:val="脚注文本 字符"/>
    <w:basedOn w:val="a0"/>
    <w:link w:val="ab"/>
    <w:uiPriority w:val="99"/>
    <w:semiHidden/>
    <w:qFormat/>
    <w:rPr>
      <w:sz w:val="20"/>
      <w:szCs w:val="20"/>
    </w:rPr>
  </w:style>
  <w:style w:type="character" w:customStyle="1" w:styleId="a4">
    <w:name w:val="正文文本 字符"/>
    <w:basedOn w:val="a0"/>
    <w:link w:val="a3"/>
    <w:qFormat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49D239A-E944-4AC6-B251-CF911CC9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 WONG Suet Mui</dc:creator>
  <cp:lastModifiedBy>Christy WONG Suet Mui</cp:lastModifiedBy>
  <cp:revision>2</cp:revision>
  <cp:lastPrinted>2026-03-28T18:07:00Z</cp:lastPrinted>
  <dcterms:created xsi:type="dcterms:W3CDTF">2026-04-01T11:03:00Z</dcterms:created>
  <dcterms:modified xsi:type="dcterms:W3CDTF">2026-03-31T07:30:00Z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1FD0ADA8E92B34B33273CB696CE03839_43</vt:lpwstr>
  </property>
</Properties>
</file>