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重点国家及地区AI与数据监管在数据监管领域形成公开信息更新，本轮成功来源2个，可复核字段覆盖EU Data Act、GDPR/DSA、隐私法规；待补充字段包括EU AI Act、新加坡AI治理。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通信监管机构在监管政策领域形成公开信息更新，本轮成功来源5个，可复核字段覆盖频谱拍卖、5G/6G规划、网络共享、覆盖义务、网络安全、卫星通信。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SmarTone在人工智能领域形成公开信息更新，本轮成功来源3个，可复核字段覆盖战略合作、中标、5G-A、家宽布局、区域动作。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1O1O在运营商财报领域形成公开信息更新，本轮成功来源7个，可复核字段覆盖运营收入/总收益、服务收入、EBITDA、净利润、客户数/用户数、5G用户数。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亚太运营商在国际运营商领域形成公开信息更新，本轮成功来源5个，可复核字段覆盖网络API、Open RAN、边缘计算、FWA、AI网络、Telefonica；待补充字段包括Vodafone、Deutsche Telekom、Orange。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亚太运营商在国际运营商领域形成公开信息更新，本轮成功来源10个，可复核字段覆盖AI、算力网络、云、DICT、5G-A、资本开支。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