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15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2025年资本开支1509亿元，同比下降8.0%；2026年计划资本开支1366亿元，同比再降9.5%，其中算力网络投资增长62.4%、AI网络投资增长19.8%；补充核验信息包括：资本开支：资本开支1509亿元；资本开支1366亿元。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5G-A载波聚合基站，覆盖超过300。</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补充核验信息包括：资本开支：资本开支542亿元；资本开支占服务收入比重降至16%；资本开支预计约500亿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宽频线数/家宽用户数：FTTH连接104万；消费宽频用户147.4万；5G套餐：5G家居宽频月费低至168；产品规格：HKT旗下NETVIGATOR提供1000M及10,000M光纤入屋产品，家宽速度选择覆盖1G至10G；合约期：NETVIGATOR 1000M光纤家宽及5G家居宽频优惠均采用36个月合约期；资费：108港元；168港元；增值服务：NETVIGATOR增值服务包括Home Wi-Fi、Cyber Security Service、Gamer Pack、Now TV；家宽套餐：HKT旗下NETVIGATOR家宽用户可选1G至10G光纤入屋产品；5G套餐：5G月费计划包括348；产品规格：csl产品线包括5G家居宽频、5G多用户及中港澳5G服务计划；合约期：csl指定5G月费计划合约期为24个月或36个月；资费：60GB；100GB；150GB；250GB；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API方案，支持企业数字化及跨行业协作；5G-A：5G/5.5；5G专网及管理式5；净利润：50.70亿港元；ARPU：HK$193。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服务收入：36.19亿港元；EBITDA：15.08亿港元；净利润：0.25亿港元；客户数/用户数：后付费客户128.9万；预付费客户684.3万；客户总数813.2万；5G用户数：5G渗透率62%；ARPU：ARPU每月187港元；ARPU每月176港元；战略升级：聚焦香港市场，以三大支柱（强化网络基建、丰富消费者体验、赋能企业数字化转型）推进战略升级，并签署AI+5G合作MoU；促销折扣：188港元；60GB；400港元；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AI以增强网络覆盖、容量和用户体验；5G套餐：$233；$798；30GB；-200GB；SoSIM/Mo+：HTHKH旗下品牌，提供移动通信和5G解决方案；漫游：$0.5；5G套餐：2026年5月推出Three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按公开交易数据，业绩发布前一交易日3月6日收盘价为1.17港元，后一交易日3月10日收盘价为1.19港元，上涨1.7%；补充核验信息包括：市场反应：不适用（品牌非独立上市主体）；市场反应：1.17港元 → 1.19港元（+1.7%）。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3,561百万港元；服务收入：2,303百万港元；2,182百万港元；EBITDA：2,445百万港元；净利润：256百万港元；278百万港元；5G用户数：5G渗透率约40%；ARPU：222港元；224港元；家宽：SmarTone家宽用户可选Home 5G Broadband，免费升级Wi-Fi 7及12个月灵活短合约；漫游：$99；1GB；5G-A：5G-Advanced技术，通过网络切片为精选客户提供3；家宽布局：12%；36%。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收入55.31亿港元；收入23.33亿港元；融资成本：7.104亿港元；资产负债率：总债务/总权益比率5.0x（截至31 August 2025）；用户数：90.7万；商业楼宇覆盖率：8220栋；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5Gb；10Gb；$698；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按公开交易数据，业绩发布前一交易日4月23日收盘价为8.20港元，后一交易日4月27日收盘价为7.34港元，下跌10.5%；补充核验信息包括：市场反应：8.20港元 → 7.34港元（-10.5%）。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5400万港元；4400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EBITDA：-302.59百万港元；净利润：-489.98百万港元；宽带套餐：$68；$88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按公开交易数据，业绩发布前一交易日3月26日收盘价为0.06港元，后一交易日3月30日收盘价为0.06港元，上涨3.5%；补充核验信息包括：市场反应：0.06港元 → 0.06港元（+3.5%）。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