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2026年6月16日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1.【重大政策/声明】重大政策/声明：中国政府网发布关于实施边境管理区通行证电子化政策的公告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2.【低空经济】低空经济：香港政府推动低空经济生态系统发展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3.【网络安全】网络安全：ENISA发布NIS360报告，关注NIS关键部门成熟度和关键性</w:t>
      </w:r>
    </w:p>
    <w:p w14:paraId="0EFD6EB6" w14:textId="77777777" w:rsidR="005B6CBE" w:rsidRPr="00176352" w:rsidRDefault="005B6CBE" w:rsidP="005B6CB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6D334050" w14:textId="7D7ED3C4" w:rsidR="00DA17B8" w:rsidRPr="005B6CBE" w:rsidRDefault="001C49A2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7FAE99E9" w14:textId="60F374ED" w:rsidR="00E6244A" w:rsidRDefault="00E6244A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4.【战略升级】3HK / Hutchison战略升级更新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5.【战略升级】HGC战略升级更新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6.【战略升级、企业ICT】HKBN技术战略要点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7.【战略升级】HKT / csl / 1O1O战略升级更新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8.【战略升级、5G-A】SmarTone技术战略要点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9.【战略升级】i-CABLE战略升级更新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10.【战略升级】中国电信战略升级更新</w:t>
      </w:r>
    </w:p>
    <w:p w14:paraId="51243355" w14:textId="0847E2B6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11.【战略升级】中国移动战略升级更新</w:t>
      </w:r>
    </w:p>
    <w:p w14:paraId="75711025" w14:textId="6B54F2BF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12.【战略升级】中国联通战略升级更新</w:t>
      </w:r>
    </w:p>
    <w:p w14:paraId="34F17429" w14:textId="77777777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13.【战略升级】中国铁塔战略升级更新</w:t>
      </w:r>
    </w:p>
    <w:p w14:paraId="4C842AC2" w14:textId="2E021C97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14.【战略升级、5G-A、战略合作】Hutchison技术战略要点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15.【收益、EBITDA / 利润、派息等】3HK / Hutchison财务业绩要点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16.【收益、EBITDA / 利润、派息等】HKBN财务业绩要点</w:t>
      </w:r>
    </w:p>
    <w:p w14:paraId="0219FE2A" w14:textId="583725BC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17.【收益、EBITDA / 利润、派息等】HKT / csl / 1O1O财务业绩要点</w:t>
      </w:r>
    </w:p>
    <w:p w14:paraId="2221473E" w14:textId="62348617" w:rsidR="00511216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18.【收益、EBITDA / 利润、派息等】SmarTone财务业绩要点</w:t>
      </w:r>
    </w:p>
    <w:p w14:paraId="037CAD1B" w14:textId="143C23C2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19.【收益、EBITDA / 利润、派息等】i-CABLE财务业绩要点</w:t>
      </w:r>
    </w:p>
    <w:p w14:paraId="2C129016" w14:textId="742A73C0" w:rsidR="004846BF" w:rsidRDefault="00F55199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20.【收益、EBITDA / 利润、派息】中国电信财务业绩要点</w:t>
      </w:r>
    </w:p>
    <w:p w14:paraId="24FD9632" w14:textId="77777777" w:rsidR="00CB6333" w:rsidRPr="00CB6333" w:rsidRDefault="00CB6333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21.【收益、EBITDA / 利润、派息】中国移动财务业绩要点</w:t>
      </w: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一、重大政策/声明：中国政府网发布关于实施边境管理区通行证电子化政策的公告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重大政策/声明：中国政府网发布关于实施边境管理区通行证电子化政策的公告。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二、低空经济：香港政府推动低空经济生态系统发展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低空经济：香港政府推动低空经济生态系统发展。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三、网络安全：ENISA发布NIS360报告，关注NIS关键部门成熟度和关键性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网络安全：ENISA发布NIS360报告，关注NIS关键部门成熟度和关键性。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四、3HK / Hutchison战略升级更新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五、HGC战略升级更新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战略升级：围绕企业通信、数据中心互联、云、安全和跨境连接推进转型。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六、HKBN技术战略要点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2026财年上半年收益60.29亿港元，同比增长5.1%；核心服务收益增长8%；EBITDA为12.57亿港元，同比增长4.2%；净利润1.08亿港元。企业解决方案和“光纤进、铜线退”网络升级是重点；企业ICT：与HIKMICRO达成独家分销合作，提供热成像等智能解决方案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七、HKT / csl / 1O1O战略升级更新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八、SmarTone技术战略要点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/26上半年收益35.61亿港元，同比增长2%；本地服务收入18.71亿港元，同比增长3%；股东应占溢利2.78亿港元，同比增长8%；营运成本同比下降6%；5G-A：率先在香港应用5G-Advanced技术，通过网络切片为精选客户提供3倍网络资源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九、i-CABLE战略升级更新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战略升级：2025年收益5.39亿港元，同比下降7.8%；年度亏损4.90亿港元，较上年亏损5.53亿港元收窄。电讯业务收入约3.42亿港元，同比下降约6%，但电讯分部扣除折旧、摊销及减值前利润同比增加约11%。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十、中国电信战略升级更新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战略升级：年度说明会将战略从“云改数转”升级为“云改数转智惠”，全面拥抱AI；最新一季度报告后，重点继续落在AI、天翼云、AIDC、安全、量子和低空经济等产业数字化能力。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十一、中国移动战略升级更新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提出从传统通信服务向“通信服务、算力服务、AI服务”三大业务协同推进；最新一季度业绩显示营业收入2665亿元、同比增长1.0%，主营业务收入2199亿元、同比下降1.1%，其他业务收入466亿元、同比增长12.7%，转型业务对冲传统业务压力。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十二、中国联通战略升级更新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战略升级：年度说明会强调落实“AI+”行动；官网一季度FAQ披露，公司围绕“联接、算力、服务、安全”四大主责主业推进，算力业务收入154亿元、同比增长8.3%，云智产品付费用户超过1.1亿。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十三、中国铁塔战略升级更新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战略升级：年度说明会继续深化“一体两翼”战略；最新一季度KPI披露后，跟踪重点转向站址/租户规模、共享率、两翼业务延续增长和能源/智联业务质量。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十四、Hutchison技术战略要点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战略升级：聚焦香港市场，以三大支柱（强化网络基建、丰富消费者体验、赋能企业数字化转型）推进战略升级，并签署AI+5G合作MoU；5G-A：HTHK率先推出5.5G x Agentic AI以增强网络覆盖、容量和用户体验；战略合作：HTHK与华为签署云原生智能基础设施战略MoU；与Zurich延长战略合作推出大湾区旅行保险+数据套餐；连续第五年成为巴塞尔艺术展香港展会官方合作伙伴。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十五、3HK / Hutchison财务业绩要点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收益：香港业务总收益54.48亿港元；EBITDA / 利润：香港业务EBIT 0.18亿港元；派息：股息每股0.0521港元/股；股息0.0228港元/股；股息为每股0.0749港元/股；派息：每股0.0521港元；资本开支：资本开支4.33亿港元；资本开支占服务收入比由13%；资本开支：资本开支4.33亿港元；EBITDA：15.08亿港元；净利润：亏损0.25亿港元；服务收入：36.19亿港元；运营收入/总收益：54.48亿港元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十六、HKBN财务业绩要点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收益：60.29亿港元；EBITDA / 利润：EBITDA 12.57亿港元；净利润1.08亿港元；派息：分派每股0.155港元；资本开支：5.105亿港元；总收入：111.29亿港元；板块收入分拆：企业方案收入55.31亿港元，住宅方案收入23.33亿港元；融资成本：7.104亿港元。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十七、HKT / csl / 1O1O财务业绩要点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收益：365.53亿港元；EBITDA / 利润：EBITDA 142.34亿港元；派息：分派0.8177港元；分派0.4797港元；派息：每股0.8177港元；资本开支：资本开支2.70亿美元；资本开支收入比由6.4%；资本开支同比下降4%；EBITDA：142.34亿港元；净利润：50.70亿港元；运营收入/总收益：365.53亿港元。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十八、SmarTone财务业绩要点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收益：35.61亿港元；EBITDA / 利润：股东应占溢利2.78亿港元；派息：0.145港元/股（1H'25）；0.145港元/股（1H'26）；资本开支：资本开支1.79亿港元；EBITDA：2,445百万港元（FY25）；净利润：256百万港元（1H'25）；278百万港元（1H'26）；服务收入：2,303百万港元（1H'25）；2,182百万港元（1H'26）；运营收入/总收益：3,492百万港元（1H'25）；3,561百万港元（1H'26）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十九、i-CABLE财务业绩要点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收益：5.39亿港元；EBITDA / 利润：亏损4.90亿港元；派息：董事会不建议派发2025年度末期股息；资本开支：2025年度业绩公告未单独列示统一资本开支金额；截至2025年12月31日，物业、厂房及设备已订约但未拨备资本承担为56万港元，节目库资本承担为1025.5万港元；资本开支：物业厂房设备5400万港元，节目库4400万港元（FY2024）；EBITDA：-302.59百万港元（FY2025）；净利润：-489.98百万港元（FY2025）；运营收入/总收益：538.74百万港元（FY2025）。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二十、中国电信财务业绩要点</w:t>
      </w: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收益：2025年5296亿元；EBITDA / 利润：2025年EBITDA 1439亿元；派息：派息每股0.2720元；股息每股0.0908元。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二十一、中国移动财务业绩要点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收益：2665亿元；EBITDA / 利润：归母净利润293亿元；派息：派息每股5.27港元；派息率75%。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二十二、中国联通财务业绩要点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收益：2026Q1经营收入1028.24亿元；EBITDA / 利润：2026Q1归母净利润48.85亿元；派息：股息每股0.417元；派息率提升至61.3%；股息每股0.1329元。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二十三、中国铁塔财务业绩要点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收益：2025年1004.11亿元；EBITDA / 利润：2025年归母净利润116亿元；派息：股息每股0.32539元；股息全年每股0.45789元；派息比率约77%；资本开支：资本开支294.86亿元。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二十四、3HK / Hutchison客户经营要点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5G用户数：5G渗透率62%；ARPU：后付费毛ARPU每月187港元，同比–2%；后付费净ARPU每月176港元，同比+1%；客户数/用户数：后付费客户128.9万；预付费客户684.3万；客户总数813.2万。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二十五、HKT / csl / 1O1O客户经营要点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客户174.7万；ARPU：193港元；客户数/用户数：后付费客户345.9万；5G客户174.7万；家宽套餐：HKT旗下NETVIGATOR家宽用户可选1G至10G光纤入屋产品；宽频线数/家宽用户数：FTTH连接104万；消费宽频用户147.4万；家宽套餐：csl官方列有5G家居宽频服务计划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二十六、SmarTone客户经营要点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5G用户数：5G渗透率约40%（公司未披露绝对用户数）；ARPU：222港元（FY25）；224港元（1H'26）；家宽：SmarTone家宽用户可选Home 5G Broadband，免费升级Wi-Fi 7及12个月灵活短合约；家宽布局：5G Home Broadband收入同比增长12%，EBIT同比增长36%。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二十七、1O1O技术战略要点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5G-A：1O1O企业方案已提供5G/5.5G无线方案、5G专网及管理式5G路由器；战略合作：1O1O企业网站于2025年9月发布HKT Open API方案，支持企业数字化及跨行业协作。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二十八、3HK技术战略要点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5G-A：HTHK率先推出5.5G x Agentic AI以增强网络覆盖、容量和用户体验；战略合作：HTHK与华为签署云原生智能基础设施战略MoU；与Zurich延长战略合作推出大湾区旅行保险+数据套餐；连续第五年成为巴塞尔艺术展香港展会官方合作伙伴。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二十九、1O1O产品资费要点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5G套餐：1O1O 5G Prestige套餐包括全球、亚太及中港澳服务方案；产品规格：1O1O 5G移动网络提供Open API服务，支持企业移动号码验证等应用；增值服务：1O1O增值服务包括MOOV、HKT AR Lens、csl Wi-Fi、Netflix、Now Player、Viu Premium、1O1O Direct Carrier Billing；漫游：1O1O漫游服务包括Golden Roaming、中港一卡两号、数据及机上邮轮漫游。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三十、3HK产品资费要点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月费233港元-798港元，含30GB-200GB本地数据及无限低速数据；SoSIM/Mo+：HTHKH旗下品牌，提供移动通信和5G解决方案；促销折扣：3HK月费188港元计划含60GB本地数据；成功推荐可获价值400港元MoneyBack积分；漫游：WORLD PLAN含免费漫游通话、数据全球可用，漫游语音0.5港元/分钟。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三十一、HKT产品资费要点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5G套餐：HKT旗下NETVIGATOR 5G家居宽频月费低至168港元，合约期36个月；产品规格：HKT旗下NETVIGATOR提供1000M及10,000M光纤入屋产品，家宽速度选择覆盖1G至10G；增值服务：NETVIGATOR增值服务包括Home Wi-Fi、Cyber Security Service、Gamer Pack、Now TV；资费：NETVIGATOR 1000M光纤家宽月费低至108港元，5G家居宽频月费低至168港元，均为36个月合约。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三十二、Hutchison产品资费要点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5G套餐：2026年5月推出Three Caring 5G服务计划；SoSIM/Mo+：HTHKH旗下品牌，提供移动通信和5G解决方案；促销折扣：HTHKH推出“3 for You”品牌权益，提供备用手机服务及100多项全球礼遇；漫游：2025年7月推出World Plan，数据覆盖220+目的地。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三十三、csl产品资费要点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5G套餐：csl 5G月费计划包括348港元100GB及398港元150GB本地数据方案；产品规格：csl产品线包括5G家居宽频、5G多用户及中港澳5G服务计划；促销折扣：csl指定服务计划提供价值超过2,000港元的迎新优惠；增值服务：csl增值服务包括csl Wi-Fi、csl Direct Carrier Billing、HKT AR Lens、Blacknut Cloud Gaming、Surfshark ONE、Norton 360；漫游：csl漫游服务包括Golden Roaming、数据漫游通行证、机上及邮轮漫游；资费：csl 5G计划本地数据量包括60GB/100GB/150GB/250GB/500GB；月费计划另收每月18港元行政费。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三十四、3HK / Hutchison其他要点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券商观点：公开检索未发现可稳定抓取且可核验的最新券商评级全文；当前观察重点为出售澳门业务后的资源重配、漫游复苏及AI驱动企业解决方案增长；市场反应：1.17港元 → 1.19港元（+1.7%）；市场反应：按公开交易数据，业绩发布前一交易日3月6日收盘价为1.17港元，后一交易日3月10日收盘价为1.19港元，上涨1.7%。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三十五、HGC云网产品信息更新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云网产品：云连接产品包括AWS Direct Connect、Azure ExpressRoute、Google Cloud Partner Interconnect、Alibaba Cloud Express Connect。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三十六、HGC数据中心：HGC于2025年5月宣布将数据中心互联服务扩展至马来西亚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数据中心：HGC于2025年5月宣布将数据中心互联服务扩展至马来西亚。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三十七、HKBN其他要点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分析页面给出约6.50港元的一年目标价；正式报告应继续接入授权研报源复核。市场关注AI与光纤升级投入、整合价值兑现及融资成本改善；市场反应：按公开交易数据，业绩发布前一交易日4月23日收盘价为8.20港元，后一交易日4月27日收盘价为7.34港元，下跌10.5%；持续性关联交易：中国移动集团自2025年5月7日起成为HKBN关联人士；部分获豁免持续性关联交易于2025年10月30日公告，适用百分比率低于5%；股东大会：2025财年末期股息须经2025年股东周年大会批准，预计于2026年1月6日前后现金派付；董事会：董事会决议宣派2025财年末期股息每股0.189港元/股；资产负债率：总债务/总权益比率5.0x（截至31 August 2025）。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三十八、HKBN宽带套餐：GigaFast 5Gbps/10Gbps服务月费698港元起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宽带套餐：GigaFast 5Gbps/10Gbps服务月费698港元起。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三十九、HKBN用户数：90.7万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用户数：90.7万。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四十、HKT / csl / 1O1O其他要点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券商观点：公开检索未发现可稳定抓取且可核验的最新券商评级全文；后续应接入授权研报源。当前判断重点为分派增长、移动服务收入和AI驱动的成本效率；市场反应：11.87港元 → 12.00港元（+1.1%）。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四十一、HKT合约期：NETVIGATOR 1000M光纤家宽及5G家居宽频优惠均采用36个月合约期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合约期：NETVIGATOR 1000M光纤家宽及5G家居宽频优惠均采用36个月合约期。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四十二、SmarTone其他要点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券商观点：公开市场信息显示分析师口径偏正面，并出现买入评级及5.50港元目标价；正式报告应继续接入授权研报源复核；市场反应：5.13港元 → 5.30港元（+3.3%）。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四十三、SmarTone漫游：4.5G服务计划月费99港元起，含1GB/月中港澳漫游数据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漫游：4.5G服务计划月费99港元起，含1GB/月中港澳漫游数据。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四十四、csl合约期：csl指定5G月费计划合约期为24个月或36个月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合约期：csl指定5G月费计划合约期为24个月或36个月。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四十五、i-CABLE其他要点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券商观点：公开检索未发现可稳定抓取且可核验的最新券商评级全文，公开券商覆盖有限；市场反应：0.06港元 → 0.06港元（+3.5%）；市场反应：按公开交易数据，业绩发布前一交易日3月26日收盘价为0.06港元，后一交易日3月30日收盘价为0.06港元，上涨3.5%。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四十六、iCable宽带套餐：200M月费68港元起，1000M月费88港元起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宽带套餐：200M月费68港元起，1000M月费88港元起。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四十七、中国电信其他要点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审慎正面：华泰证券维持买入评级，看好产业数字化业务在AI时代的发展前景，但下调盈利预测和目标价以反映传统业务和增值税调整压力；市场反应：市场继续关注AI投入、Token经营、传统业务增长放缓、增值税影响和利润弹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四十八、中国移动其他要点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整体维持正面：花旗维持买入并给出105.1港元目标价；另有机构维持跑赢大市/与大市同步评级，关注高股息与资本开支效率；市场反应：市场关注点从年度派息和资本开支效率，延伸到税改/成本压力、主营业务下滑和算力/AI转型兑现节奏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四十九、中国联通其他要点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分化且偏谨慎：晨星下调中国联通公允价值预测至9.6港元并维持“无护城河”评级，瑞银维持中性评级并关注派息、EBITDA和收入增长低于预期的压力；市场反应：市场主要担忧核心业务盈利能力、资本回报率、增值税调整和派息增长可持续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五十、中国铁塔其他要点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中性：市场关注铁塔旧站升级维修开支、运营商资本开支下行对塔类业务的影响，同时认可两翼业务增长和股东回报提升；市场反应：市场反应重点在利润增长和派息提升的防御属性；一季度KPI披露后，继续关注运营商投资周期下行、塔类业务增速、站址共享效率和维护成本变化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五十一、收购：Verizon收购Frontier Communications，预计2026年1月20日完成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收购：Verizon收购Frontier Communications，预计2026年1月20日完成。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五十二、科技创投：香港政府发布《数字资产发展政策声明2.0》，引入LEAP框架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科技创投：香港政府发布《数字资产发展政策声明2.0》，引入LEAP框架。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五十三、Jio技术战略要点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AI：Jio提供AI+机器学习、分析、边缘物联网等云解决方案；云：Jio提供云服务器、计算、数据库、存储、混合云等云服务。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五十四、中国电信技术战略要点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AI：中国电信人工智能科技（北京）有限公司完成首轮增资及战略投资者引入；5G-A：部署超过110,000个5G-A载波聚合基站，覆盖超过300个城市。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五十五、SK Telecom云：与NVIDIA合作在韩国建设吉瓦级AI云，首座AI工厂2027年上线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云：与NVIDIA合作在韩国建设吉瓦级AI云，首座AI工厂2027年上线。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五十六、KT企业ICT：KT面向企业及机构客户提供KT AX平台定制化数字化转型服务，并运营互联网数据中心、云、服务器、存储和专线服务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企业ICT：KT面向企业及机构客户提供KT AX平台定制化数字化转型服务，并运营互联网数据中心、云、服务器、存储和专线服务。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五十七、Airtel 5G-A：与Ericsson、Volvo Group合作研究Digital Twins &amp; XR over 5G Advanced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5G-A：与Ericsson、Volvo Group合作研究Digital Twins &amp; XR over 5G Advanced。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五十八、中国移动技术战略要点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5G-A：全球首个智能5G-A核心网；DICT：AI服务覆盖数据算法、具身智能、数智文娱、数智电商及行业数智服务。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五十九、中国联通技术战略要点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5G-A：5G-A基站已部署至超过330个城市；DICT：战略性新兴产业收入占比超过86%；算力业务收入占比超过15%；AI收入同比增长超过140%。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六十、Jio Capex方向：网络投入方向聚焦5G、AirFiber家宽及企业Private 5G能力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Capex方向：网络投入方向聚焦5G、AirFiber家宽及企业Private 5G能力。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六十一、Orange AI网络：Orange在MWC 2026展示网络API平台，强调'没有AI就没有API'，网络正成为智能可编程平台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AI网络：Orange在MWC 2026展示网络API平台，强调'没有AI就没有API'，网络正成为智能可编程平台。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六十二、Orange边缘计算：Orange推出Network APIs Playground，允许开发者安全构建和测试网络API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边缘计算：Orange推出Network APIs Playground，允许开发者安全构建和测试网络API。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六十三、SK Telecom Capex方向：推进超大规模AI数据中心，开发1000B AI模型，聚焦制造业AI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Capex方向：推进超大规模AI数据中心，开发1000B AI模型，聚焦制造业AI。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六十四、中国电信披露资本开支：2025年资本开支804亿元；公司继续围绕云网融合、AIDC、算力和AI基础设施投入，同时保持自由现金流改善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资本开支：2025年资本开支804亿元；公司继续围绕云网融合、AIDC、算力和AI基础设施投入，同时保持自由现金流改善。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六十五、中国移动披露资本开支：2025年资本开支1509亿元，同比下降8.0%；2026年计划资本开支1366亿元，同比再降9.5%，其中算力网络投资增长62.4%、AI网络投资增长19.8%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资本开支：2025年资本开支1509亿元，同比下降8.0%；2026年计划资本开支1366亿元，同比再降9.5%，其中算力网络投资增长62.4%、AI网络投资增长19.8%。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六十六、中国联通披露资本开支：2025年资本开支542亿元，资本开支占服务收入比重降至16%；2026年资本开支预计约500亿元，其中算力投资占比超过35%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资本开支：2025年资本开支542亿元，资本开支占服务收入比重降至16%；2026年资本开支预计约500亿元，其中算力投资占比超过35%。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