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16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部署超过110,000个5G-A载波聚合基站，覆盖超过300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2025年度每个股份合订单位全年分派0.8177港元，同比增加4%；其中末期分派0.4797港元；补充核验信息包括：派息：0.8177港元/股。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万；宽频线数/家宽用户数：FTTH连接104万；消费宽频用户147.4万；5G套餐：HKT旗下NETVIGATOR 5G家居宽频月费低至168港元，合约期36个月；产品规格：HKT旗下NETVIGATOR提供1000M及10,000M光纤入屋产品，家宽速度选择覆盖1G至10G；合约期：NETVIGATOR 1000M光纤家宽及5G家居宽频优惠均采用36个月合约期；资费：NETVIGATOR 1000M光纤家宽月费低至108港元，5G家居宽频月费低至168港元，均为36个月合约；增值服务：NETVIGATOR增值服务包括Home Wi-Fi、Cyber Security Service、Gamer Pack、Now TV；家宽套餐：HKT旗下NETVIGATOR家宽用户可选1G至10G光纤入屋产品；5G套餐：csl 5G月费计划包括348港元100GB及398港元150GB本地数据方案；产品规格：csl产品线包括5G家居宽频、5G多用户及中港澳5G服务计划；合约期：csl指定5G月费计划合约期为24个月或36个月；资费：csl 5G计划本地数据量包括60GB/100GB/150GB/250GB/500GB；月费计划另收每月18港元行政费；增值服务：csl增值服务包括csl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API方案，支持企业数字化及跨行业协作；5G-A：1O1O企业方案已提供5G/5.5G无线方案、5G专网及管理式5G路由器；净利润：50.70亿港元；ARPU：Post-paid exit ARPU for December 2024 rose by 1% to 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建议派发2025年度末期股息每股0.0521港元；连同中期股息0.0228港元，全年股息为每股0.0749港元，与上年持平；补充核验信息包括：派息：0.0521港元/股。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服务收入：36.19亿港元；EBITDA：15.08亿港元；净利润：亏损0.25亿港元；客户数/用户数：后付费客户128.9万；预付费客户684.3万；客户总数813.2万；5G用户数：5G渗透率62%；ARPU：后付费毛ARPU每月187港元，同比–2%；后付费净ARPU每月176港元，同比+1%；战略升级：聚焦香港市场，以三大支柱（强化网络基建、丰富消费者体验、赋能企业数字化转型）推进战略升级，并签署AI+5G合作MoU；促销折扣：3HK月费188港元计划含60GB本地数据；成功推荐可获价值400港元MoneyBack积分；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AI以增强网络覆盖、容量和用户体验；5G套餐：月费$233-$798，含30GB-200GB本地数据及无限低速数据；SoSIM/Mo+：HTHKH旗下品牌，提供移动通信和5G解决方案；漫游：WORLD PLAN含免费漫游通话、数据全球可用，漫游语音$0.5/分钟；5G套餐：2026年5月推出Three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中期股息每股0.145港元，与上年同期持平；补充核验信息包括：派息：0.145港元/股（1H'25）；0.145港元/股（1H'26）。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1H'25）；3,561百万港元（1H'26）；服务收入：2,303百万港元（1H'25）；2,182百万港元（1H'26）；EBITDA：2,445百万港元（FY25）；净利润：256百万港元（1H'25）；278百万港元（1H'26）；5G用户数：5G渗透率约40%（公司未披露绝对用户数）；ARPU：222港元（FY25）；224港元（1H'26）；家宽：SmarTone家宽用户可选Home 5G Broadband，免费升级Wi-Fi 7及12个月灵活短合约；漫游：4.5G服务计划月费$99起，含1GB/月中港澳漫游数据；5G-A：率先在香港应用5G-Advanced技术，通过网络切片为精选客户提供3倍网络资源；家宽布局：5G Home Broadband收入同比增长12%，EBIT同比增长36%。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企业方案收入55.31亿港元，住宅方案收入23.33亿港元；融资成本：7.104亿港元；资产负债率：总债务/总权益比率5.0x（截至31 August 2025）；用户数：90.7万；商业楼宇覆盖率：8220栋；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GigaFast 5Gbps/10Gbps服务月费$698起；企业ICT：与HIKMICRO达成独家分销合作，提供热成像等智能解决方案。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物业厂房设备5400万港元，节目库4400万港元（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FY2025）；EBITDA：-302.59百万港元（FY2025）；净利润：-489.98百万港元（FY2025）；宽带套餐：200M月费$68起，1000M月费$88起。</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