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A724" w14:textId="77777777" w:rsidR="00394201" w:rsidRDefault="002E2042">
      <w:pPr>
        <w:snapToGrid w:val="0"/>
        <w:spacing w:beforeLines="50" w:before="180" w:line="360" w:lineRule="auto"/>
        <w:ind w:firstLineChars="200" w:firstLine="803"/>
        <w:jc w:val="center"/>
        <w:outlineLvl w:val="3"/>
        <w:rPr>
          <w:rFonts w:ascii="FangSong" w:eastAsia="FangSong" w:hAnsi="FangSong" w:cs="Times New Roman"/>
          <w:b/>
          <w:bCs/>
          <w:snapToGrid w:val="0"/>
          <w:kern w:val="24"/>
          <w:sz w:val="40"/>
          <w:szCs w:val="36"/>
          <w:lang w:eastAsia="zh-CN"/>
        </w:rPr>
      </w:pPr>
      <w:bookmarkStart w:id="0" w:name="OLE_LINK2"/>
      <w:bookmarkStart w:id="1" w:name="OLE_LINK1"/>
      <w:r>
        <w:rPr>
          <w:rFonts w:ascii="FangSong" w:eastAsia="FangSong" w:hAnsi="FangSong" w:cs="Times New Roman" w:hint="eastAsia"/>
          <w:b/>
          <w:bCs/>
          <w:snapToGrid w:val="0"/>
          <w:kern w:val="24"/>
          <w:sz w:val="40"/>
          <w:szCs w:val="36"/>
          <w:lang w:eastAsia="zh-CN"/>
        </w:rPr>
        <w:t>内地运营商及香港主要竞对关键业绩摘要</w:t>
      </w:r>
      <w:r>
        <w:rPr>
          <w:rFonts w:ascii="FangSong" w:eastAsia="FangSong" w:hAnsi="FangSong" w:cs="Times New Roman" w:hint="eastAsia"/>
          <w:b/>
          <w:bCs/>
          <w:snapToGrid w:val="0"/>
          <w:kern w:val="24"/>
          <w:sz w:val="40"/>
          <w:szCs w:val="36"/>
          <w:lang w:eastAsia="zh-CN"/>
        </w:rPr>
      </w:r>
      <w:r>
        <w:rPr>
          <w:rFonts w:ascii="FangSong" w:eastAsia="FangSong" w:hAnsi="FangSong" w:cs="Times New Roman"/>
          <w:b/>
          <w:bCs/>
          <w:snapToGrid w:val="0"/>
          <w:kern w:val="24"/>
          <w:sz w:val="40"/>
          <w:szCs w:val="36"/>
          <w:lang w:eastAsia="zh-CN"/>
        </w:rPr>
      </w:r>
      <w:r>
        <w:rPr>
          <w:rFonts w:ascii="FangSong" w:eastAsia="FangSong" w:hAnsi="FangSong" w:cs="Times New Roman" w:hint="eastAsia"/>
          <w:b/>
          <w:bCs/>
          <w:snapToGrid w:val="0"/>
          <w:kern w:val="24"/>
          <w:sz w:val="40"/>
          <w:szCs w:val="36"/>
          <w:lang w:eastAsia="zh-CN"/>
        </w:rPr>
      </w:r>
    </w:p>
    <w:bookmarkEnd w:id="0"/>
    <w:bookmarkEnd w:id="1"/>
    <w:p w14:paraId="499EED94" w14:textId="77777777" w:rsidR="00394201" w:rsidRDefault="002E2042">
      <w:pPr>
        <w:pStyle w:val="a3"/>
        <w:spacing w:before="0" w:after="0" w:line="312" w:lineRule="auto"/>
        <w:jc w:val="center"/>
        <w:rPr>
          <w:rFonts w:ascii="FangSong" w:eastAsia="FangSong" w:hAnsi="FangSong"/>
          <w:sz w:val="28"/>
          <w:lang w:eastAsia="zh-CN"/>
        </w:rPr>
      </w:pPr>
      <w:r>
        <w:rPr>
          <w:rFonts w:ascii="FangSong" w:eastAsia="FangSong" w:hAnsi="FangSong" w:hint="eastAsia"/>
          <w:sz w:val="28"/>
          <w:lang w:eastAsia="zh-CN"/>
        </w:rPr>
        <w:t>战略部（智库）对标分析简报</w:t>
      </w:r>
      <w:proofErr w:type="gramStart"/>
      <w:r>
        <w:rPr>
          <w:rFonts w:ascii="FangSong" w:eastAsia="FangSong" w:hAnsi="FangSong" w:hint="eastAsia"/>
          <w:sz w:val="28"/>
          <w:lang w:eastAsia="zh-CN"/>
        </w:rPr>
      </w:r>
      <w:proofErr w:type="gramEnd"/>
      <w:r>
        <w:rPr>
          <w:rFonts w:ascii="FangSong" w:eastAsia="FangSong" w:hAnsi="FangSong" w:hint="eastAsia"/>
          <w:sz w:val="28"/>
          <w:lang w:eastAsia="zh-CN"/>
        </w:rPr>
      </w:r>
    </w:p>
    <w:p w14:paraId="5066AAE1" w14:textId="77777777" w:rsidR="00394201" w:rsidRDefault="002E2042">
      <w:pPr>
        <w:snapToGrid w:val="0"/>
        <w:spacing w:before="60" w:line="312" w:lineRule="auto"/>
        <w:ind w:firstLineChars="200" w:firstLine="560"/>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Cs/>
          <w:snapToGrid w:val="0"/>
          <w:kern w:val="24"/>
          <w:sz w:val="28"/>
          <w:szCs w:val="24"/>
          <w:lang w:eastAsia="zh-CN"/>
        </w:rPr>
        <w:t>截至2026年6月16日，本摘要同步核对内地运营商及香港主要竞对最新可获取的年度或中期业绩、后续经营披露、业绩公告及资本市场观点。上市主体与品牌口径分别列示；未公开或不适用的项目明确标注，供内部决策参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roofErr w:type="gramStart"/>
      <w:r>
        <w:rPr>
          <w:rFonts w:ascii="FangSong" w:eastAsia="FangSong" w:hAnsi="FangSong" w:cs="Times New Roman" w:hint="eastAsia"/>
          <w:bCs/>
          <w:snapToGrid w:val="0"/>
          <w:kern w:val="24"/>
          <w:sz w:val="28"/>
          <w:szCs w:val="24"/>
          <w:lang w:eastAsia="zh-CN"/>
        </w:rPr>
      </w:r>
      <w:proofErr w:type="gramEnd"/>
      <w:r>
        <w:rPr>
          <w:rFonts w:ascii="FangSong" w:eastAsia="FangSong" w:hAnsi="FangSong" w:cs="Times New Roman" w:hint="eastAsia"/>
          <w:bCs/>
          <w:snapToGrid w:val="0"/>
          <w:kern w:val="24"/>
          <w:sz w:val="28"/>
          <w:szCs w:val="24"/>
          <w:lang w:eastAsia="zh-CN"/>
        </w:rPr>
      </w:r>
      <w:bookmarkStart w:id="2" w:name="_Hlk225772476"/>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bookmarkEnd w:id="2"/>
      <w:r>
        <w:rPr>
          <w:rFonts w:ascii="FangSong" w:eastAsia="FangSong" w:hAnsi="FangSong" w:cs="Times New Roman" w:hint="eastAsia"/>
          <w:bCs/>
          <w:snapToGrid w:val="0"/>
          <w:kern w:val="24"/>
          <w:sz w:val="28"/>
          <w:szCs w:val="24"/>
          <w:lang w:eastAsia="zh-CN"/>
        </w:rPr>
      </w:r>
    </w:p>
    <w:p w14:paraId="3FB884F8" w14:textId="77777777" w:rsidR="00394201" w:rsidRDefault="002E2042">
      <w:pPr>
        <w:spacing w:line="312" w:lineRule="auto"/>
        <w:jc w:val="center"/>
        <w:rPr>
          <w:rFonts w:ascii="FangSong" w:eastAsia="FangSong" w:hAnsi="FangSong"/>
          <w:b/>
          <w:sz w:val="32"/>
          <w:lang w:eastAsia="zh-CN"/>
        </w:rPr>
      </w:pPr>
      <w:r>
        <w:rPr>
          <w:rFonts w:ascii="FangSong" w:eastAsia="FangSong" w:hAnsi="FangSong" w:hint="eastAsia"/>
          <w:b/>
          <w:sz w:val="32"/>
          <w:lang w:eastAsia="zh-CN"/>
        </w:rPr>
        <w:t>表：内地运营商及香港主要竞对最新关键业绩数据汇总</w:t>
      </w:r>
      <w:r>
        <w:rPr>
          <w:rFonts w:ascii="FangSong" w:eastAsia="FangSong" w:hAnsi="FangSong"/>
          <w:b/>
          <w:sz w:val="32"/>
          <w:lang w:eastAsia="zh-CN"/>
        </w:rPr>
      </w:r>
      <w:r>
        <w:rPr>
          <w:rFonts w:ascii="FangSong" w:eastAsia="FangSong" w:hAnsi="FangSong" w:hint="eastAsia"/>
          <w:b/>
          <w:sz w:val="32"/>
          <w:lang w:eastAsia="zh-CN"/>
        </w:rPr>
      </w:r>
    </w:p>
    <w:tbl>
      <w:tblPr>
        <w:tblStyle w:val="ad"/>
        <w:tblW w:w="8818" w:type="dxa"/>
        <w:jc w:val="center"/>
        <w:tblLook w:val="04A0" w:firstRow="1" w:lastRow="0" w:firstColumn="1" w:lastColumn="0" w:noHBand="0" w:noVBand="1"/>
      </w:tblPr>
      <w:tblGrid>
        <w:gridCol w:w="2701"/>
        <w:gridCol w:w="1382"/>
        <w:gridCol w:w="1382"/>
        <w:gridCol w:w="1383"/>
        <w:gridCol w:w="1970"/>
        <w:gridCol w:w="1970"/>
      </w:tblGrid>
      <w:tr w:rsidR="00BA3003" w14:paraId="58BB608A" w14:textId="77777777" w:rsidTr="00BA3003">
        <w:trPr>
          <w:trHeight w:val="569"/>
          <w:jc w:val="center"/>
        </w:trPr>
        <w:tc>
          <w:tcPr>
            <w:tcW w:w="2701" w:type="dxa"/>
          </w:tcPr>
          <w:p>
            <w:r>
              <w:t>主体</w:t>
            </w:r>
          </w:p>
        </w:tc>
        <w:tc>
          <w:tcPr>
            <w:tcW w:w="1382" w:type="dxa"/>
          </w:tcPr>
          <w:p>
            <w:r>
              <w:t>最新披露</w:t>
            </w:r>
          </w:p>
        </w:tc>
        <w:tc>
          <w:tcPr>
            <w:tcW w:w="1382" w:type="dxa"/>
          </w:tcPr>
          <w:p>
            <w:r>
              <w:t>收益</w:t>
            </w:r>
          </w:p>
        </w:tc>
        <w:tc>
          <w:tcPr>
            <w:tcW w:w="1383" w:type="dxa"/>
          </w:tcPr>
          <w:p>
            <w:r>
              <w:t>EBITDA / 利润</w:t>
            </w:r>
          </w:p>
        </w:tc>
        <w:tc>
          <w:tcPr>
            <w:tcW w:w="1970" w:type="dxa"/>
          </w:tcPr>
          <w:p>
            <w:r>
              <w:t>资本开支</w:t>
            </w:r>
          </w:p>
        </w:tc>
        <w:tc>
          <w:tcPr>
            <w:tcW w:type="dxa" w:w="1970"/>
          </w:tcPr>
          <w:p>
            <w:r>
              <w:t>派息</w:t>
            </w:r>
          </w:p>
        </w:tc>
      </w:tr>
      <w:tr w:rsidR="00BA3003" w14:paraId="724C57C1" w14:textId="77777777" w:rsidTr="00BA3003">
        <w:trPr>
          <w:trHeight w:val="977"/>
          <w:jc w:val="center"/>
        </w:trPr>
        <w:tc>
          <w:tcPr>
            <w:tcW w:w="2701" w:type="dxa"/>
          </w:tcPr>
          <w:p>
            <w:r>
              <w:t>中国移动</w:t>
            </w:r>
          </w:p>
        </w:tc>
        <w:tc>
          <w:tcPr>
            <w:tcW w:w="1382" w:type="dxa"/>
          </w:tcPr>
          <w:p>
            <w:r>
              <w:t>2026Q1</w:t>
            </w:r>
          </w:p>
        </w:tc>
        <w:tc>
          <w:tcPr>
            <w:tcW w:w="1382" w:type="dxa"/>
          </w:tcPr>
          <w:p>
            <w:r>
              <w:t>2665亿元</w:t>
            </w:r>
          </w:p>
        </w:tc>
        <w:tc>
          <w:tcPr>
            <w:tcW w:w="1383" w:type="dxa"/>
          </w:tcPr>
          <w:p>
            <w:r>
              <w:t>归母净利润293亿元</w:t>
            </w:r>
          </w:p>
        </w:tc>
        <w:tc>
          <w:tcPr>
            <w:tcW w:w="1970" w:type="dxa"/>
          </w:tcPr>
          <w:p>
            <w:r>
              <w:t>2025年1509亿元；2026年计划1366亿元</w:t>
            </w:r>
          </w:p>
        </w:tc>
        <w:tc>
          <w:tcPr>
            <w:tcW w:type="dxa" w:w="1970"/>
          </w:tcPr>
          <w:p>
            <w:r>
              <w:t>全年每股5.27港元</w:t>
            </w:r>
          </w:p>
        </w:tc>
      </w:tr>
      <w:tr w:rsidR="00BA3003" w14:paraId="21098F54" w14:textId="77777777" w:rsidTr="00BA3003">
        <w:trPr>
          <w:trHeight w:val="1215"/>
          <w:jc w:val="center"/>
        </w:trPr>
        <w:tc>
          <w:tcPr>
            <w:tcW w:w="2701" w:type="dxa"/>
          </w:tcPr>
          <w:p>
            <w:r>
              <w:t>中国电信</w:t>
            </w:r>
          </w:p>
        </w:tc>
        <w:tc>
          <w:tcPr>
            <w:tcW w:w="1382" w:type="dxa"/>
          </w:tcPr>
          <w:p>
            <w:r>
              <w:t>2026Q1</w:t>
            </w:r>
          </w:p>
        </w:tc>
        <w:tc>
          <w:tcPr>
            <w:tcW w:w="1382" w:type="dxa"/>
          </w:tcPr>
          <w:p>
            <w:r>
              <w:t>2025年5296亿元</w:t>
            </w:r>
          </w:p>
        </w:tc>
        <w:tc>
          <w:tcPr>
            <w:tcW w:w="1383" w:type="dxa"/>
          </w:tcPr>
          <w:p>
            <w:r>
              <w:t>2025年EBITDA 1439亿元</w:t>
            </w:r>
          </w:p>
        </w:tc>
        <w:tc>
          <w:tcPr>
            <w:tcW w:w="1970" w:type="dxa"/>
          </w:tcPr>
          <w:p>
            <w:r>
              <w:t>2025年804亿元</w:t>
            </w:r>
          </w:p>
        </w:tc>
        <w:tc>
          <w:tcPr>
            <w:tcW w:type="dxa" w:w="1970"/>
          </w:tcPr>
          <w:p>
            <w:r>
              <w:t>全年每股0.2720元</w:t>
            </w:r>
          </w:p>
        </w:tc>
      </w:tr>
      <w:tr w:rsidR="00BA3003" w14:paraId="4BC2B377" w14:textId="77777777" w:rsidTr="00BA3003">
        <w:trPr>
          <w:trHeight w:val="912"/>
          <w:jc w:val="center"/>
        </w:trPr>
        <w:tc>
          <w:tcPr>
            <w:tcW w:w="2701" w:type="dxa"/>
          </w:tcPr>
          <w:p>
            <w:r>
              <w:t>中国联通</w:t>
            </w:r>
          </w:p>
        </w:tc>
        <w:tc>
          <w:tcPr>
            <w:tcW w:w="1382" w:type="dxa"/>
          </w:tcPr>
          <w:p>
            <w:r>
              <w:t>2026Q1</w:t>
            </w:r>
          </w:p>
        </w:tc>
        <w:tc>
          <w:tcPr>
            <w:tcW w:w="1382" w:type="dxa"/>
          </w:tcPr>
          <w:p>
            <w:r>
              <w:t>2026Q1经营收入1028.24亿元</w:t>
            </w:r>
          </w:p>
        </w:tc>
        <w:tc>
          <w:tcPr>
            <w:tcW w:w="1383" w:type="dxa"/>
          </w:tcPr>
          <w:p>
            <w:r>
              <w:t>2026Q1归母净利润48.85亿元</w:t>
            </w:r>
          </w:p>
        </w:tc>
        <w:tc>
          <w:tcPr>
            <w:tcW w:w="1970" w:type="dxa"/>
          </w:tcPr>
          <w:p>
            <w:r>
              <w:t>2025年542亿元；2026年计划约500亿元</w:t>
            </w:r>
          </w:p>
        </w:tc>
        <w:tc>
          <w:tcPr>
            <w:tcW w:type="dxa" w:w="1970"/>
          </w:tcPr>
          <w:p>
            <w:r>
              <w:t>全年每股0.417元</w:t>
            </w:r>
          </w:p>
        </w:tc>
      </w:tr>
      <w:tr w:rsidR="00BA3003" w14:paraId="7045117A" w14:textId="77777777" w:rsidTr="00BA3003">
        <w:trPr>
          <w:trHeight w:val="1089"/>
          <w:jc w:val="center"/>
        </w:trPr>
        <w:tc>
          <w:tcPr>
            <w:tcW w:w="2701" w:type="dxa"/>
          </w:tcPr>
          <w:p>
            <w:r>
              <w:t>中国铁塔</w:t>
            </w:r>
          </w:p>
        </w:tc>
        <w:tc>
          <w:tcPr>
            <w:tcW w:w="1382" w:type="dxa"/>
          </w:tcPr>
          <w:p>
            <w:r>
              <w:t>2026Q1 KPI</w:t>
            </w:r>
          </w:p>
        </w:tc>
        <w:tc>
          <w:tcPr>
            <w:tcW w:w="1382" w:type="dxa"/>
          </w:tcPr>
          <w:p>
            <w:r>
              <w:t>2025年1004.11亿元</w:t>
            </w:r>
          </w:p>
        </w:tc>
        <w:tc>
          <w:tcPr>
            <w:tcW w:w="1383" w:type="dxa"/>
          </w:tcPr>
          <w:p>
            <w:r>
              <w:t>2025年归母净利润116亿元</w:t>
            </w:r>
          </w:p>
        </w:tc>
        <w:tc>
          <w:tcPr>
            <w:tcW w:w="1970" w:type="dxa"/>
          </w:tcPr>
          <w:p>
            <w:r>
              <w:t>2025年294.86亿元</w:t>
            </w:r>
          </w:p>
        </w:tc>
        <w:tc>
          <w:tcPr>
            <w:tcW w:type="dxa" w:w="1970"/>
          </w:tcPr>
          <w:p>
            <w:r>
              <w:t>全年每股0.45789元</w:t>
            </w:r>
          </w:p>
        </w:tc>
      </w:tr>
      <w:tr w:rsidR="00BA3003" w14:paraId="788B3B0A" w14:textId="77777777" w:rsidTr="00BA3003">
        <w:trPr>
          <w:trHeight w:val="569"/>
          <w:jc w:val="center"/>
        </w:trPr>
        <w:tc>
          <w:tcPr>
            <w:tcW w:w="2701" w:type="dxa"/>
          </w:tcPr>
          <w:p>
            <w:r>
              <w:t>HKT / csl / 1O1O</w:t>
            </w:r>
          </w:p>
        </w:tc>
        <w:tc>
          <w:tcPr>
            <w:tcW w:w="1382" w:type="dxa"/>
          </w:tcPr>
          <w:p>
            <w:r>
              <w:t>2025年度</w:t>
            </w:r>
          </w:p>
        </w:tc>
        <w:tc>
          <w:tcPr>
            <w:tcW w:w="1382" w:type="dxa"/>
          </w:tcPr>
          <w:p>
            <w:r>
              <w:t>365.53亿港元</w:t>
            </w:r>
          </w:p>
        </w:tc>
        <w:tc>
          <w:tcPr>
            <w:tcW w:w="1383" w:type="dxa"/>
          </w:tcPr>
          <w:p>
            <w:r>
              <w:t>EBITDA 142.34亿港元</w:t>
            </w:r>
          </w:p>
        </w:tc>
        <w:tc>
          <w:tcPr>
            <w:tcW w:w="1970" w:type="dxa"/>
          </w:tcPr>
          <w:p>
            <w:r>
              <w:t>2.70亿美元</w:t>
            </w:r>
          </w:p>
        </w:tc>
        <w:tc>
          <w:tcPr>
            <w:tcW w:type="dxa" w:w="1970"/>
          </w:tcPr>
          <w:p>
            <w:r>
              <w:t>全年分派0.8177港元</w:t>
            </w:r>
          </w:p>
        </w:tc>
      </w:tr>
      <w:tr w:rsidR="00BA3003" w14:paraId="10705560" w14:textId="77777777" w:rsidTr="00BA3003">
        <w:trPr>
          <w:trHeight w:val="601"/>
          <w:jc w:val="center"/>
        </w:trPr>
        <w:tc>
          <w:tcPr>
            <w:tcW w:w="2701" w:type="dxa"/>
          </w:tcPr>
          <w:p>
            <w:r>
              <w:t>3HK / Hutchison</w:t>
            </w:r>
          </w:p>
        </w:tc>
        <w:tc>
          <w:tcPr>
            <w:tcW w:w="1382" w:type="dxa"/>
          </w:tcPr>
          <w:p>
            <w:r>
              <w:t>2025年度</w:t>
            </w:r>
          </w:p>
        </w:tc>
        <w:tc>
          <w:tcPr>
            <w:tcW w:w="1382" w:type="dxa"/>
          </w:tcPr>
          <w:p>
            <w:r>
              <w:t>香港业务总收益54.48亿港元</w:t>
            </w:r>
          </w:p>
        </w:tc>
        <w:tc>
          <w:tcPr>
            <w:tcW w:w="1383" w:type="dxa"/>
          </w:tcPr>
          <w:p>
            <w:r>
              <w:t>香港业务EBIT 0.18亿港元</w:t>
            </w:r>
          </w:p>
        </w:tc>
        <w:tc>
          <w:tcPr>
            <w:tcW w:w="1970" w:type="dxa"/>
          </w:tcPr>
          <w:p>
            <w:r>
              <w:t>4.33亿港元</w:t>
            </w:r>
          </w:p>
        </w:tc>
        <w:tc>
          <w:tcPr>
            <w:tcW w:type="dxa" w:w="1970"/>
          </w:tcPr>
          <w:p>
            <w:r>
              <w:t>全年股息0.0749港元</w:t>
            </w:r>
          </w:p>
        </w:tc>
      </w:tr>
      <w:tr w:rsidR="00BA3003" w14:paraId="6F9B501E" w14:textId="77777777" w:rsidTr="00BA3003">
        <w:trPr>
          <w:trHeight w:val="569"/>
          <w:jc w:val="center"/>
        </w:trPr>
        <w:tc>
          <w:tcPr>
            <w:tcW w:w="2701" w:type="dxa"/>
          </w:tcPr>
          <w:p>
            <w:r>
              <w:t>SmarTone</w:t>
            </w:r>
          </w:p>
        </w:tc>
        <w:tc>
          <w:tcPr>
            <w:tcW w:w="1382" w:type="dxa"/>
          </w:tcPr>
          <w:p>
            <w:r>
              <w:t>2025/26中期</w:t>
            </w:r>
          </w:p>
        </w:tc>
        <w:tc>
          <w:tcPr>
            <w:tcW w:w="1382" w:type="dxa"/>
          </w:tcPr>
          <w:p>
            <w:r>
              <w:t>35.61亿港元</w:t>
            </w:r>
          </w:p>
        </w:tc>
        <w:tc>
          <w:tcPr>
            <w:tcW w:w="1383" w:type="dxa"/>
          </w:tcPr>
          <w:p>
            <w:r>
              <w:t>股东应占溢利2.78亿港元</w:t>
            </w:r>
          </w:p>
        </w:tc>
        <w:tc>
          <w:tcPr>
            <w:tcW w:w="1970" w:type="dxa"/>
          </w:tcPr>
          <w:p>
            <w:r>
              <w:t>1.79亿港元</w:t>
            </w:r>
          </w:p>
        </w:tc>
        <w:tc>
          <w:tcPr>
            <w:tcW w:type="dxa" w:w="1970"/>
          </w:tcPr>
          <w:p>
            <w:r>
              <w:t>中期股息0.145港元</w:t>
            </w:r>
          </w:p>
        </w:tc>
      </w:tr>
      <w:tr w:rsidR="00BA3003" w14:paraId="433CAB3D" w14:textId="77777777" w:rsidTr="00BA3003">
        <w:trPr>
          <w:trHeight w:val="569"/>
          <w:jc w:val="center"/>
        </w:trPr>
        <w:tc>
          <w:tcPr>
            <w:tcW w:w="2701" w:type="dxa"/>
          </w:tcPr>
          <w:p>
            <w:r>
              <w:t>HKBN</w:t>
            </w:r>
          </w:p>
        </w:tc>
        <w:tc>
          <w:tcPr>
            <w:tcW w:w="1382" w:type="dxa"/>
          </w:tcPr>
          <w:p>
            <w:r>
              <w:t>2026财年中期</w:t>
            </w:r>
          </w:p>
        </w:tc>
        <w:tc>
          <w:tcPr>
            <w:tcW w:w="1382" w:type="dxa"/>
          </w:tcPr>
          <w:p>
            <w:r>
              <w:t>60.29亿港元</w:t>
            </w:r>
          </w:p>
        </w:tc>
        <w:tc>
          <w:tcPr>
            <w:tcW w:w="1383" w:type="dxa"/>
          </w:tcPr>
          <w:p>
            <w:r>
              <w:t>EBITDA 12.57亿港元；净利润1.08亿港元</w:t>
            </w:r>
          </w:p>
        </w:tc>
        <w:tc>
          <w:tcPr>
            <w:tcW w:w="1970" w:type="dxa"/>
          </w:tcPr>
          <w:p>
            <w:r>
              <w:t>2.70亿港元</w:t>
            </w:r>
          </w:p>
        </w:tc>
        <w:tc>
          <w:tcPr>
            <w:tcW w:type="dxa" w:w="1970"/>
          </w:tcPr>
          <w:p>
            <w:r>
              <w:t>中期股息0.155港元</w:t>
            </w:r>
          </w:p>
        </w:tc>
      </w:tr>
      <w:tr w:rsidR="00BA3003" w14:paraId="3C2B5CD4" w14:textId="77777777" w:rsidTr="00BA3003">
        <w:trPr>
          <w:trHeight w:val="569"/>
          <w:jc w:val="center"/>
        </w:trPr>
        <w:tc>
          <w:tcPr>
            <w:tcW w:w="2701" w:type="dxa"/>
          </w:tcPr>
          <w:p>
            <w:r>
              <w:t>HGC</w:t>
            </w:r>
          </w:p>
        </w:tc>
        <w:tc>
          <w:tcPr>
            <w:tcW w:w="1382" w:type="dxa"/>
          </w:tcPr>
          <w:p>
            <w:r>
              <w:t>持续观察</w:t>
            </w:r>
          </w:p>
        </w:tc>
        <w:tc>
          <w:tcPr>
            <w:tcW w:w="1382" w:type="dxa"/>
          </w:tcPr>
          <w:p>
            <w:r>
              <w:t>非上市主体未公开披露</w:t>
            </w:r>
          </w:p>
        </w:tc>
        <w:tc>
          <w:tcPr>
            <w:tcW w:w="1383" w:type="dxa"/>
          </w:tcPr>
          <w:p>
            <w:r>
              <w:t>非上市主体未公开披露</w:t>
            </w:r>
          </w:p>
        </w:tc>
        <w:tc>
          <w:tcPr>
            <w:tcW w:w="1970" w:type="dxa"/>
          </w:tcPr>
          <w:p>
            <w:r>
              <w:t>非上市主体未公开披露</w:t>
            </w:r>
          </w:p>
        </w:tc>
        <w:tc>
          <w:tcPr>
            <w:tcW w:type="dxa" w:w="1970"/>
          </w:tcPr>
          <w:p>
            <w:r>
              <w:t>不适用</w:t>
            </w:r>
          </w:p>
        </w:tc>
      </w:tr>
      <w:tr w:rsidR="00BA3003" w14:paraId="554C3DD1" w14:textId="77777777" w:rsidTr="00BA3003">
        <w:trPr>
          <w:trHeight w:val="50"/>
          <w:jc w:val="center"/>
        </w:trPr>
        <w:tc>
          <w:tcPr>
            <w:tcW w:w="2701" w:type="dxa"/>
          </w:tcPr>
          <w:p>
            <w:r>
              <w:t>i-CABLE</w:t>
            </w:r>
          </w:p>
        </w:tc>
        <w:tc>
          <w:tcPr>
            <w:tcW w:w="1382" w:type="dxa"/>
          </w:tcPr>
          <w:p>
            <w:r>
              <w:t>2025年度</w:t>
            </w:r>
          </w:p>
        </w:tc>
        <w:tc>
          <w:tcPr>
            <w:tcW w:w="1382" w:type="dxa"/>
          </w:tcPr>
          <w:p>
            <w:r>
              <w:t>5.39亿港元</w:t>
            </w:r>
          </w:p>
        </w:tc>
        <w:tc>
          <w:tcPr>
            <w:tcW w:w="1383" w:type="dxa"/>
          </w:tcPr>
          <w:p>
            <w:r>
              <w:t>亏损4.90亿港元</w:t>
            </w:r>
          </w:p>
        </w:tc>
        <w:tc>
          <w:tcPr>
            <w:tcW w:w="1970" w:type="dxa"/>
          </w:tcPr>
          <w:p>
            <w:r>
              <w:t>未单列；资本承诺56万港元</w:t>
            </w:r>
          </w:p>
        </w:tc>
        <w:tc>
          <w:tcPr>
            <w:tcW w:type="dxa" w:w="1970"/>
          </w:tcPr>
          <w:p>
            <w:r>
              <w:t>不派末期股息</w:t>
            </w:r>
          </w:p>
        </w:tc>
      </w:tr>
    </w:tbl>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中国移动（2026Q1业绩4月20日；年度会3月26日）关键摘要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全年派息每股5.27港元，同比增加3.5%，全年派息率75%；公司指引2026年派息率稳中有升，继续增强股东回报。</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2025年资本开支1509亿元，同比下降8.0%；2026年计划资本开支1366亿元，同比再降9.5%，其中算力网络投资增长62.4%、AI网络投资增长19.8%。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提出从传统通信服务向“通信服务、算力服务、AI服务”三大业务协同推进；最新一季度业绩显示营业收入2665亿元、同比增长1.0%，主营业务收入2199亿元、同比下降1.1%，其他业务收入466亿元、同比增长12.7%，转型业务对冲传统业务压力；补充核验信息包括：DICT：AI服务覆盖数据算法、具身智能、数智文娱、数智电商及行业数智服务；5G-A：全球首个智能5G-A核心网。</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券商观点：券商观点整体维持正面：花旗维持买入并给出105.1港元目标价；另有机构维持跑赢大市/与大市同步评级，关注高股息与资本开支效率。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最新一季度归母净利润293亿元、同比下降4.2%，市场关注点从年度派息和资本开支效率，延伸到税改/成本压力、主营业务下滑和算力/AI转型兑现节奏。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中国电信（2026Q1报告4月23日；年度会3月24日）关键摘要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全年派息每股0.2720元，同比增加4.7%；其中末期股息每股0.0908元，全年现金分红比例为归母净利润的75%。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2025年资本开支804亿元；公司继续围绕云网融合、AIDC、算力和AI基础设施投入，同时保持自由现金流改善。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将战略从“云改数转”升级为“云改数转智惠”，全面拥抱AI；最新一季度报告后，重点继续落在AI、天翼云、AIDC、安全、量子和低空经济等产业数字化能力；补充核验信息包括：AI：中国电信人工智能科技（北京）有限公司完成首轮增资及战略投资者引入；5G-A：部署超过110,000个5G-A载波聚合基站，覆盖超过300个城市。</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券商观点：券商观点偏审慎正面：华泰证券维持买入评级，看好产业数字化业务在AI时代的发展前景，但下调盈利预测和目标价以反映传统业务和增值税调整压力。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年度业绩说明会后股价整体维持稳定；一季度报告发布后，市场继续关注AI投入、Token经营、传统业务增长放缓、增值税影响和利润弹性。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中国联通（2026Q1FAQ4月后；年度会3月19日）关键摘要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全年股息每股0.417元，同比增加3.1%，派息率提升至61.3%；其中末期股息每股0.1329元，已派中期股息每股0.2841元。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2025年资本开支542亿元，资本开支占服务收入比重降至16%；2026年资本开支预计约500亿元，其中算力投资占比超过35%。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强调落实“AI+”行动；官网一季度FAQ披露，公司围绕“联接、算力、服务、安全”四大主责主业推进，算力业务收入154亿元、同比增长8.3%，云智产品付费用户超过1.1亿；补充核验信息包括：DICT：战略性新兴产业收入占比超过86%；算力业务收入占比超过15%；AI收入同比增长超过140%；5G-A：5G-A基站已部署至超过330个城市。</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券商观点：券商观点分化且偏谨慎：晨星下调中国联通公允价值预测至9.6港元并维持“无护城河”评级，瑞银维持中性评级并关注派息、EBITDA和收入增长低于预期的压力。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最新一季度经营收入1028.24亿元、同比下降0.5%，归母净利润48.85亿元、同比下降17.6%；市场主要担忧核心业务盈利能力、资本回报率、增值税调整和派息增长可持续性。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中国铁塔（2026Q1KPI4月17日；年度会3月18日）关键摘要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建议派发2025年末期股息每股0.32539元（税前），连同中期股息全年每股0.45789元（税前），全年可分配利润派息比率约77%。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2025年资本开支294.86亿元，同比下降7.7%；自由现金流266.30亿元，同比增加91.03亿元，投资更聚焦站址共享、室分和两翼业务效率提升。</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年度说明会继续深化“一体两翼”战略；最新一季度KPI披露后，跟踪重点转向站址/租户规模、共享率、两翼业务延续增长和能源/智联业务质量。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券商观点：券商观点偏中性：市场关注铁塔旧站升级维修开支、运营商资本开支下行对塔类业务的影响，同时认可两翼业务增长和股东回报提升。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市场反应重点在利润增长和派息提升的防御属性；一季度KPI披露后，继续关注运营商投资周期下行、塔类业务增速、站址共享效率和维护成本变化。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HKT / csl / 1O1O（2025年度业绩2月9日）关键摘要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2025年度每个股份合订单位全年分派0.8177港元，同比增加4%；其中末期分派0.4797港元；补充核验信息包括：派息：0.8177港元/股。</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2025年资本开支2.70亿美元，同比下降5%；资本开支收入比由6.4%改善至5.8%。其中移动资本开支同比下降4%，反映全港5G覆盖完成后的投资纪律。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HKT继续围绕5G、光纤宽频、企业数字化、AI Exchange和智慧生活服务推进；2025年总收益365.53亿港元，撇除流动通讯产品销售后的收益约330.17亿港元，EBITDA为142.34亿港元，同比增长4%；补充核验信息包括：客户数/用户数：后付费客户345.9万；5G客户174.7万；5G用户数：5G客户174.7万；宽频线数/家宽用户数：FTTH连接104万；消费宽频用户147.4万；5G套餐：HKT旗下NETVIGATOR 5G家居宽频月费低至168港元，合约期36个月；产品规格：HKT旗下NETVIGATOR提供1000M及10,000M光纤入屋产品，家宽速度选择覆盖1G至10G；合约期：NETVIGATOR 1000M光纤家宽及5G家居宽频优惠均采用36个月合约期；资费：NETVIGATOR 1000M光纤家宽月费低至108港元，5G家居宽频月费低至168港元，均为36个月合约；增值服务：NETVIGATOR增值服务包括Home Wi-Fi、Cyber Security Service、Gamer Pack、Now TV；家宽套餐：HKT旗下NETVIGATOR家宽用户可选1G至10G光纤入屋产品；5G套餐：csl 5G月费计划包括348港元100GB及398港元150GB本地数据方案；产品规格：csl产品线包括5G家居宽频、5G多用户及中港澳5G服务计划；合约期：csl指定5G月费计划合约期为24个月或36个月；资费：csl 5G计划本地数据量包括60GB/100GB/150GB/250GB/500GB；月费计划另收每月18港元行政费；增值服务：csl增值服务包括csl Wi-Fi、csl Direct Carrier Billing、HKT AR Lens、Blacknut Cloud Gaming、Surfshark ONE、Norton 360；家宽套餐：csl官方列有5G家居宽频服务计划；漫游：csl漫游服务包括Golden Roaming、数据漫游通行证、机上及邮轮漫游；促销折扣：csl指定服务计划提供价值超过2,000港元的迎新优惠；5G套餐：1O1O 5G Prestige套餐包括全球、亚太及中港澳服务方案；产品规格：1O1O 5G移动网络提供Open API服务，支持企业移动号码验证等应用；增值服务：1O1O增值服务包括MOOV、HKT AR Lens、csl Wi-Fi、Netflix、Now Player、Viu Premium、1O1O Direct Carrier Billing；漫游：1O1O漫游服务包括Golden Roaming、中港一卡两号、数据及机上邮轮漫游；战略合作：1O1O企业网站于2025年9月发布HKT Open API方案，支持企业数字化及跨行业协作；5G-A：1O1O企业方案已提供5G/5.5G无线方案、5G专网及管理式5G路由器；净利润：50.70亿港元；ARPU：Post-paid exit ARPU for December 2024 rose by 1% to HK$193。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券商观点：公开检索未发现可稳定抓取且可核验的最新券商评级全文；后续应接入授权研报源。当前判断重点为分派增长、移动服务收入和AI驱动的成本效率。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按公开交易数据，业绩发布前一交易日2月6日收盘价为11.87港元，后一交易日2月10日收盘价为12.00港元，上涨1.1%；补充核验信息包括：市场反应：不适用（品牌非独立上市主体）。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3HK / Hutchison（2025年度业绩3月9日）关键摘要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建议派发2025年度末期股息每股0.0521港元；连同中期股息0.0228港元，全年股息为每股0.0749港元，与上年持平；补充核验信息包括：派息：0.0521港元/股。</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2025年资本开支4.33亿港元，较重述后的2024年4.31亿港元基本稳定；资本开支占服务收入比由13%降至12%，投资继续聚焦香港网络和服务体验。</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完成澳门业务出售后进一步聚焦香港市场；香港业务总收益54.48亿港元，同比增长17%，香港业务EBIT为1800万港元，同比增长6%，漫游收益增长31%，企业解决方案收益增长33%，5G渗透率升至62%；补充核验信息包括：服务收入：36.19亿港元；EBITDA：15.08亿港元；净利润：亏损0.25亿港元；客户数/用户数：后付费客户128.9万；预付费客户684.3万；客户总数813.2万；5G用户数：5G渗透率62%；ARPU：后付费毛ARPU每月187港元，同比–2%；后付费净ARPU每月176港元，同比+1%；战略升级：聚焦香港市场，以三大支柱（强化网络基建、丰富消费者体验、赋能企业数字化转型）推进战略升级，并签署AI+5G合作MoU；促销折扣：3HK月费188港元计划含60GB本地数据；成功推荐可获价值400港元MoneyBack积分；促销折扣：HTHKH推出“3 for You”品牌权益，提供备用手机服务及100多项全球礼遇；战略合作：HTHK与华为签署云原生智能基础设施战略MoU；与Zurich延长战略合作推出大湾区旅行保险+数据套餐；连续第五年成为巴塞尔艺术展香港展会官方合作伙伴；5G-A：HTHK率先推出5.5G x Agentic AI以增强网络覆盖、容量和用户体验；5G套餐：月费$233-$798，含30GB-200GB本地数据及无限低速数据；SoSIM/Mo+：HTHKH旗下品牌，提供移动通信和5G解决方案；漫游：WORLD PLAN含免费漫游通话、数据全球可用，漫游语音$0.5/分钟；5G套餐：2026年5月推出Three Caring 5G服务计划；漫游：2025年7月推出World Plan，数据覆盖220+目的地。</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券商观点：公开检索未发现可稳定抓取且可核验的最新券商评级全文；当前观察重点为出售澳门业务后的资源重配、漫游复苏及AI驱动企业解决方案增长。</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按公开交易数据，业绩发布前一交易日3月6日收盘价为1.17港元，后一交易日3月10日收盘价为1.19港元，上涨1.7%；补充核验信息包括：市场反应：不适用（品牌非独立上市主体）。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SmarTone（2025/26中期业绩2月24日）关键摘要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中期股息每股0.145港元，与上年同期持平；补充核验信息包括：派息：0.145港元/股（1H'25）；0.145港元/股（1H'26）。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2025/26上半年资本开支1.79亿港元，同比下降2.7%；持续投资5G网络、客户体验和平台简化。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26上半年收益35.61亿港元，同比增长2%；本地服务收入18.71亿港元，同比增长3%；股东应占溢利2.78亿港元，同比增长8%；营运成本同比下降6%；补充核验信息包括：运营收入/总收益：3,492百万港元（1H'25）；3,561百万港元（1H'26）；服务收入：2,303百万港元（1H'25）；2,182百万港元（1H'26）；EBITDA：2,445百万港元（FY25）；净利润：256百万港元（1H'25）；278百万港元（1H'26）；5G用户数：5G渗透率约40%（公司未披露绝对用户数）；ARPU：222港元（FY25）；224港元（1H'26）；家宽：SmarTone家宽用户可选Home 5G Broadband，免费升级Wi-Fi 7及12个月灵活短合约；漫游：4.5G服务计划月费$99起，含1GB/月中港澳漫游数据；5G-A：率先在香港应用5G-Advanced技术，通过网络切片为精选客户提供3倍网络资源；家宽布局：5G Home Broadband收入同比增长12%，EBIT同比增长36%。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券商观点：公开市场信息显示分析师口径偏正面，并出现买入评级及5.50港元目标价；正式报告应继续接入授权研报源复核。</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按公开交易数据，业绩发布前一交易日2月23日收盘价为5.13港元，后一交易日2月25日收盘价为5.30港元，上涨3.3%。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HKBN（2026财年中期业绩4月24日）关键摘要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2026财年中期分派每股0.155港元，与上年同期持平。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2026财年上半年资本开支2.70亿港元，同比增加13%；继续投入企业方案、住宅光纤升级和AI融合能力；补充核验信息包括：资本开支：5.105亿港元。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2026财年上半年收益60.29亿港元，同比增长5.1%；核心服务收益增长8%；EBITDA为12.57亿港元，同比增长4.2%；净利润1.08亿港元。企业解决方案和“光纤进、铜线退”网络升级是重点；补充核验信息包括：总收入：111.29亿港元；板块收入分拆：企业方案收入55.31亿港元，住宅方案收入23.33亿港元；融资成本：7.104亿港元；资产负债率：总债务/总权益比率5.0x（截至31 August 2025）；用户数：90.7万；董事会：董事会决议宣派2025财年末期股息每股0.189港元/股；股东大会：2025财年末期股息须经2025年股东周年大会批准，预计于2026年1月6日前后现金派付；持续性关联交易：中国移动集团自2025年5月7日起成为HKBN关联人士；部分获豁免持续性关联交易于2025年10月30日公告，适用百分比率低于5%；宽带套餐：GigaFast 5Gbps/10Gbps服务月费$698起；企业ICT：与HIKMICRO达成独家分销合作，提供热成像等智能解决方案。</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券商观点：公开市场分析页面给出约6.50港元的一年目标价；正式报告应继续接入授权研报源复核。市场关注AI与光纤升级投入、整合价值兑现及融资成本改善。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按公开交易数据，业绩发布前一交易日4月23日收盘价为8.20港元，后一交易日4月27日收盘价为7.34港元，下跌10.5%。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HGC（企业转型动态持续更新）关键摘要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不适用：HGC为非上市主体，未公开披露派息口径；补充核验信息包括：派息：不适用（非上市主体）。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未公开披露统一资本开支金额；公开资料显示持续投入数据中心互联、云通信、网络服务和跨境连接能力。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围绕企业通信、数据中心互联、云、安全和跨境连接推进转型；补充核验信息包括：数据中心：HGC于2025年5月宣布将数据中心互联服务扩展至马来西亚；云网产品：云连接产品包括AWS Direct Connect、Azure ExpressRoute、Google Cloud Partner Interconnect、Alibaba Cloud Express Connect。</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券商观点：不适用：非上市主体，暂无公开券商评级口径；补充核验信息包括：券商观点：不适用（非上市主体）。</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不适用：非上市主体，不存在独立公开股票交易表现；补充核验信息包括：市场反应：不适用（非上市主体）。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i-CABLE（2025年度业绩3月27日）关键摘要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董事会不建议派发2025年度末期股息。</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度业绩公告未单独列示统一资本开支金额；截至2025年12月31日，物业、厂房及设备已订约但未拨备资本承担为56万港元，节目库资本承担为1025.5万港元；补充核验信息包括：资本开支：物业厂房设备5400万港元，节目库4400万港元（FY2024）。</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收益5.39亿港元，同比下降7.8%；年度亏损4.90亿港元，较上年亏损5.53亿港元收窄。电讯业务收入约3.42亿港元，同比下降约6%，但电讯分部扣除折旧、摊销及减值前利润同比增加约11%；补充核验信息包括：运营收入/总收益：538.74百万港元（FY2025）；EBITDA：-302.59百万港元（FY2025）；净利润：-489.98百万港元（FY2025）；宽带套餐：200M月费$68起，1000M月费$88起。</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券商观点：公开检索未发现可稳定抓取且可核验的最新券商评级全文，公开券商覆盖有限。</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按公开交易数据，业绩发布前一交易日3月26日收盘价为0.06港元，后一交易日3月30日收盘价为0.06港元，上涨3.5%。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7C7E878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722B5EAC"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22E239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33994FCA"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D918E5E"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F976EF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9642B9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4AD5471D"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5A630C49" w14:textId="29031ACB" w:rsidR="00394201" w:rsidRDefault="00394201" w:rsidP="00BA3003">
      <w:pPr>
        <w:pStyle w:val="af"/>
        <w:snapToGrid w:val="0"/>
        <w:spacing w:before="180" w:line="312" w:lineRule="auto"/>
        <w:ind w:leftChars="0"/>
        <w:jc w:val="both"/>
        <w:outlineLvl w:val="3"/>
        <w:rPr>
          <w:rFonts w:ascii="FangSong" w:eastAsia="FangSong" w:hAnsi="FangSong" w:cs="Times New Roman" w:hint="eastAsia"/>
          <w:bCs/>
          <w:snapToGrid w:val="0"/>
          <w:kern w:val="24"/>
          <w:sz w:val="28"/>
          <w:szCs w:val="24"/>
          <w:lang w:eastAsia="zh-CN"/>
        </w:rPr>
      </w:pPr>
      <w:bookmarkStart w:id="3" w:name="_GoBack"/>
      <w:bookmarkEnd w:id="3"/>
    </w:p>
    <w:sectPr w:rsidR="00394201">
      <w:footerReference w:type="default" r:id="rId8"/>
      <w:pgSz w:w="11906" w:h="16838"/>
      <w:pgMar w:top="1440" w:right="1531"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F131" w14:textId="77777777" w:rsidR="002E2042" w:rsidRDefault="002E2042">
      <w:r>
        <w:separator/>
      </w:r>
    </w:p>
  </w:endnote>
  <w:endnote w:type="continuationSeparator" w:id="0">
    <w:p w14:paraId="7DF90BE5" w14:textId="77777777" w:rsidR="002E2042" w:rsidRDefault="002E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angSong">
    <w:altName w:val="汉仪仿宋KW"/>
    <w:panose1 w:val="02010609060101010101"/>
    <w:charset w:val="86"/>
    <w:family w:val="modern"/>
    <w:pitch w:val="fixed"/>
    <w:sig w:usb0="800002BF" w:usb1="38CF7CFA" w:usb2="00000016" w:usb3="00000000" w:csb0="00040001" w:csb1="00000000"/>
  </w:font>
  <w:font w:name="FangSong_GB2312">
    <w:altName w:val="汉仪仿宋KW"/>
    <w:panose1 w:val="02010609060101010101"/>
    <w:charset w:val="86"/>
    <w:family w:val="modern"/>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sdtPr>
    <w:sdtEndPr/>
    <w:sdtContent>
      <w:p w14:paraId="5ED3F80B" w14:textId="77777777" w:rsidR="00394201" w:rsidRDefault="002E2042">
        <w:pPr>
          <w:pStyle w:val="a7"/>
          <w:jc w:val="center"/>
        </w:pPr>
        <w:r>
          <w:fldChar w:fldCharType="begin"/>
        </w:r>
        <w:r>
          <w:instrText>PAGE   \* MERGEFORMAT</w:instrText>
        </w:r>
        <w:r>
          <w:fldChar w:fldCharType="separate"/>
        </w:r>
        <w:r>
          <w:rPr>
            <w:lang w:val="zh-CN" w:eastAsia="zh-CN"/>
          </w:rPr>
          <w:t>2</w:t>
        </w:r>
        <w:r>
          <w:fldChar w:fldCharType="end"/>
        </w:r>
      </w:p>
    </w:sdtContent>
  </w:sdt>
  <w:p w14:paraId="69A9DBB3" w14:textId="77777777" w:rsidR="00394201" w:rsidRDefault="003942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622A9" w14:textId="77777777" w:rsidR="002E2042" w:rsidRDefault="002E2042">
      <w:r>
        <w:separator/>
      </w:r>
    </w:p>
  </w:footnote>
  <w:footnote w:type="continuationSeparator" w:id="0">
    <w:p w14:paraId="61E0F990" w14:textId="77777777" w:rsidR="002E2042" w:rsidRDefault="002E2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ABD"/>
    <w:multiLevelType w:val="multilevel"/>
    <w:tmpl w:val="04170AB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F9956D2"/>
    <w:multiLevelType w:val="multilevel"/>
    <w:tmpl w:val="1F9956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5BF6363"/>
    <w:multiLevelType w:val="multilevel"/>
    <w:tmpl w:val="45BF6363"/>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1EF7C35"/>
    <w:multiLevelType w:val="multilevel"/>
    <w:tmpl w:val="51EF7C3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B940A4D"/>
    <w:multiLevelType w:val="multilevel"/>
    <w:tmpl w:val="5B940A4D"/>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DBB12EB"/>
    <w:multiLevelType w:val="multilevel"/>
    <w:tmpl w:val="5DBB12E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225702"/>
    <w:multiLevelType w:val="multilevel"/>
    <w:tmpl w:val="72225702"/>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A3154"/>
    <w:multiLevelType w:val="multilevel"/>
    <w:tmpl w:val="743A3154"/>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5016AF5"/>
    <w:multiLevelType w:val="multilevel"/>
    <w:tmpl w:val="75016AF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67F47FF"/>
    <w:multiLevelType w:val="multilevel"/>
    <w:tmpl w:val="767F47FF"/>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0"/>
  </w:num>
  <w:num w:numId="3">
    <w:abstractNumId w:val="5"/>
  </w:num>
  <w:num w:numId="4">
    <w:abstractNumId w:val="2"/>
  </w:num>
  <w:num w:numId="5">
    <w:abstractNumId w:val="7"/>
  </w:num>
  <w:num w:numId="6">
    <w:abstractNumId w:val="1"/>
  </w:num>
  <w:num w:numId="7">
    <w:abstractNumId w:val="4"/>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80"/>
  <w:drawingGridHorizontalSpacing w:val="12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00"/>
    <w:rsid w:val="B4FE1CC7"/>
    <w:rsid w:val="D65F0366"/>
    <w:rsid w:val="DFAE3D4A"/>
    <w:rsid w:val="EF15C071"/>
    <w:rsid w:val="F4DF5194"/>
    <w:rsid w:val="F7FF56D3"/>
    <w:rsid w:val="FD77666E"/>
    <w:rsid w:val="FFCD9707"/>
    <w:rsid w:val="000365E5"/>
    <w:rsid w:val="00073E96"/>
    <w:rsid w:val="00074B7E"/>
    <w:rsid w:val="00081006"/>
    <w:rsid w:val="000C30BF"/>
    <w:rsid w:val="000C59F4"/>
    <w:rsid w:val="000F478D"/>
    <w:rsid w:val="001205E7"/>
    <w:rsid w:val="00153A7B"/>
    <w:rsid w:val="001563B9"/>
    <w:rsid w:val="00163934"/>
    <w:rsid w:val="00167CE0"/>
    <w:rsid w:val="0017432B"/>
    <w:rsid w:val="00182295"/>
    <w:rsid w:val="001A283F"/>
    <w:rsid w:val="001F3905"/>
    <w:rsid w:val="00260569"/>
    <w:rsid w:val="00271186"/>
    <w:rsid w:val="002A4456"/>
    <w:rsid w:val="002B09B3"/>
    <w:rsid w:val="002C1109"/>
    <w:rsid w:val="002D5422"/>
    <w:rsid w:val="002E2042"/>
    <w:rsid w:val="00304B2C"/>
    <w:rsid w:val="00313FCA"/>
    <w:rsid w:val="00333892"/>
    <w:rsid w:val="003636E1"/>
    <w:rsid w:val="00363DC9"/>
    <w:rsid w:val="00364278"/>
    <w:rsid w:val="003661ED"/>
    <w:rsid w:val="003800DF"/>
    <w:rsid w:val="0038542A"/>
    <w:rsid w:val="00394201"/>
    <w:rsid w:val="003B11B0"/>
    <w:rsid w:val="003C7B40"/>
    <w:rsid w:val="003D2577"/>
    <w:rsid w:val="00422CDB"/>
    <w:rsid w:val="00475AB2"/>
    <w:rsid w:val="00475E3C"/>
    <w:rsid w:val="00476D76"/>
    <w:rsid w:val="004A6E0C"/>
    <w:rsid w:val="004A7FEC"/>
    <w:rsid w:val="004C22C6"/>
    <w:rsid w:val="004C64DF"/>
    <w:rsid w:val="004D29B3"/>
    <w:rsid w:val="004D6737"/>
    <w:rsid w:val="004E573D"/>
    <w:rsid w:val="004F2838"/>
    <w:rsid w:val="005001D7"/>
    <w:rsid w:val="00500CF0"/>
    <w:rsid w:val="00507881"/>
    <w:rsid w:val="0052232F"/>
    <w:rsid w:val="0053358B"/>
    <w:rsid w:val="00541B4D"/>
    <w:rsid w:val="0055692C"/>
    <w:rsid w:val="005762C6"/>
    <w:rsid w:val="005C7273"/>
    <w:rsid w:val="006101EA"/>
    <w:rsid w:val="0066221C"/>
    <w:rsid w:val="00662DD1"/>
    <w:rsid w:val="00665E6A"/>
    <w:rsid w:val="00673609"/>
    <w:rsid w:val="006B2B3B"/>
    <w:rsid w:val="006C46EA"/>
    <w:rsid w:val="006D3885"/>
    <w:rsid w:val="00767264"/>
    <w:rsid w:val="00773929"/>
    <w:rsid w:val="00777485"/>
    <w:rsid w:val="00782529"/>
    <w:rsid w:val="00790718"/>
    <w:rsid w:val="007A0A74"/>
    <w:rsid w:val="007C3076"/>
    <w:rsid w:val="007D677D"/>
    <w:rsid w:val="00806979"/>
    <w:rsid w:val="008469C0"/>
    <w:rsid w:val="008A7647"/>
    <w:rsid w:val="008C7A6F"/>
    <w:rsid w:val="008D6965"/>
    <w:rsid w:val="008E3E9E"/>
    <w:rsid w:val="008E6C23"/>
    <w:rsid w:val="00905F44"/>
    <w:rsid w:val="00917E57"/>
    <w:rsid w:val="009238D6"/>
    <w:rsid w:val="00927674"/>
    <w:rsid w:val="00947F34"/>
    <w:rsid w:val="00951DE5"/>
    <w:rsid w:val="009A3A9A"/>
    <w:rsid w:val="009A422F"/>
    <w:rsid w:val="009D37EF"/>
    <w:rsid w:val="009E59C3"/>
    <w:rsid w:val="009E68FE"/>
    <w:rsid w:val="00A324D9"/>
    <w:rsid w:val="00A57E2E"/>
    <w:rsid w:val="00A9052A"/>
    <w:rsid w:val="00A91F4E"/>
    <w:rsid w:val="00AA090B"/>
    <w:rsid w:val="00AE0DA7"/>
    <w:rsid w:val="00B14554"/>
    <w:rsid w:val="00B14FFF"/>
    <w:rsid w:val="00B151C1"/>
    <w:rsid w:val="00B46A8E"/>
    <w:rsid w:val="00B6333A"/>
    <w:rsid w:val="00BA3003"/>
    <w:rsid w:val="00BE5500"/>
    <w:rsid w:val="00BE571C"/>
    <w:rsid w:val="00BE57C4"/>
    <w:rsid w:val="00BF0E56"/>
    <w:rsid w:val="00C35B70"/>
    <w:rsid w:val="00C574FC"/>
    <w:rsid w:val="00C63203"/>
    <w:rsid w:val="00C756FB"/>
    <w:rsid w:val="00CA720C"/>
    <w:rsid w:val="00CD0B58"/>
    <w:rsid w:val="00CE1479"/>
    <w:rsid w:val="00D04863"/>
    <w:rsid w:val="00D06E42"/>
    <w:rsid w:val="00D45101"/>
    <w:rsid w:val="00D47336"/>
    <w:rsid w:val="00D560D3"/>
    <w:rsid w:val="00D639E5"/>
    <w:rsid w:val="00D73F96"/>
    <w:rsid w:val="00D764F3"/>
    <w:rsid w:val="00D95100"/>
    <w:rsid w:val="00DD5BC6"/>
    <w:rsid w:val="00E21B7C"/>
    <w:rsid w:val="00E44DFB"/>
    <w:rsid w:val="00E62700"/>
    <w:rsid w:val="00E65610"/>
    <w:rsid w:val="00EB2E6C"/>
    <w:rsid w:val="00EE50A5"/>
    <w:rsid w:val="00F54222"/>
    <w:rsid w:val="00F83FFE"/>
    <w:rsid w:val="00FB0B49"/>
    <w:rsid w:val="00FC7F63"/>
    <w:rsid w:val="00FD1457"/>
    <w:rsid w:val="00FD3DFE"/>
    <w:rsid w:val="33F56AAA"/>
    <w:rsid w:val="57FC06AD"/>
    <w:rsid w:val="5FEB9984"/>
    <w:rsid w:val="7BD55BA6"/>
    <w:rsid w:val="7BE7181E"/>
    <w:rsid w:val="7FFA0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CD062"/>
  <w15:docId w15:val="{F2E78B9B-3439-4AD8-BB2A-BFF4B54F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pPr>
    <w:rPr>
      <w:kern w:val="0"/>
      <w:szCs w:val="24"/>
      <w:lang w:eastAsia="en-US"/>
    </w:r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header"/>
    <w:basedOn w:val="a"/>
    <w:link w:val="aa"/>
    <w:uiPriority w:val="99"/>
    <w:unhideWhenUsed/>
    <w:qFormat/>
    <w:pPr>
      <w:tabs>
        <w:tab w:val="center" w:pos="4153"/>
        <w:tab w:val="right" w:pos="8306"/>
      </w:tabs>
      <w:snapToGrid w:val="0"/>
    </w:pPr>
    <w:rPr>
      <w:sz w:val="20"/>
      <w:szCs w:val="20"/>
    </w:rPr>
  </w:style>
  <w:style w:type="paragraph" w:styleId="ab">
    <w:name w:val="footnote text"/>
    <w:basedOn w:val="a"/>
    <w:link w:val="ac"/>
    <w:uiPriority w:val="99"/>
    <w:semiHidden/>
    <w:unhideWhenUsed/>
    <w:qFormat/>
    <w:pPr>
      <w:snapToGrid w:val="0"/>
    </w:pPr>
    <w:rPr>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20"/>
      <w:szCs w:val="20"/>
    </w:rPr>
  </w:style>
  <w:style w:type="character" w:customStyle="1" w:styleId="a8">
    <w:name w:val="页脚 字符"/>
    <w:basedOn w:val="a0"/>
    <w:link w:val="a7"/>
    <w:uiPriority w:val="99"/>
    <w:qFormat/>
    <w:rPr>
      <w:sz w:val="20"/>
      <w:szCs w:val="20"/>
    </w:rPr>
  </w:style>
  <w:style w:type="paragraph" w:styleId="af">
    <w:name w:val="List Paragraph"/>
    <w:basedOn w:val="a"/>
    <w:uiPriority w:val="34"/>
    <w:qFormat/>
    <w:pPr>
      <w:ind w:leftChars="200" w:left="480"/>
    </w:pPr>
  </w:style>
  <w:style w:type="character" w:customStyle="1" w:styleId="a6">
    <w:name w:val="批注框文本 字符"/>
    <w:basedOn w:val="a0"/>
    <w:link w:val="a5"/>
    <w:uiPriority w:val="99"/>
    <w:semiHidden/>
    <w:qFormat/>
    <w:rPr>
      <w:rFonts w:asciiTheme="majorHAnsi" w:eastAsiaTheme="majorEastAsia" w:hAnsiTheme="majorHAnsi" w:cstheme="majorBidi"/>
      <w:sz w:val="18"/>
      <w:szCs w:val="18"/>
    </w:rPr>
  </w:style>
  <w:style w:type="paragraph" w:customStyle="1" w:styleId="1">
    <w:name w:val="修订1"/>
    <w:hidden/>
    <w:uiPriority w:val="99"/>
    <w:semiHidden/>
    <w:qFormat/>
    <w:rPr>
      <w:rFonts w:asciiTheme="minorHAnsi" w:eastAsiaTheme="minorEastAsia" w:hAnsiTheme="minorHAnsi" w:cstheme="minorBidi"/>
      <w:kern w:val="2"/>
      <w:sz w:val="24"/>
      <w:szCs w:val="22"/>
    </w:rPr>
  </w:style>
  <w:style w:type="character" w:customStyle="1" w:styleId="ac">
    <w:name w:val="脚注文本 字符"/>
    <w:basedOn w:val="a0"/>
    <w:link w:val="ab"/>
    <w:uiPriority w:val="99"/>
    <w:semiHidden/>
    <w:qFormat/>
    <w:rPr>
      <w:sz w:val="20"/>
      <w:szCs w:val="20"/>
    </w:rPr>
  </w:style>
  <w:style w:type="character" w:customStyle="1" w:styleId="a4">
    <w:name w:val="正文文本 字符"/>
    <w:basedOn w:val="a0"/>
    <w:link w:val="a3"/>
    <w:qFormat/>
    <w:rPr>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49D239A-E944-4AC6-B251-CF911CC9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WONG Suet Mui</dc:creator>
  <cp:lastModifiedBy>Christy WONG Suet Mui</cp:lastModifiedBy>
  <cp:revision>2</cp:revision>
  <cp:lastPrinted>2026-03-28T18:07:00Z</cp:lastPrinted>
  <dcterms:created xsi:type="dcterms:W3CDTF">2026-04-01T11:03:00Z</dcterms:created>
  <dcterms:modified xsi:type="dcterms:W3CDTF">2026-03-31T07:30:00Z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1FD0ADA8E92B34B33273CB696CE03839_43</vt:lpwstr>
  </property>
</Properties>
</file>