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F97A724" w14:textId="77777777" w:rsidR="00394201" w:rsidRDefault="002E2042">
      <w:pPr>
        <w:snapToGrid w:val="0"/>
        <w:spacing w:beforeLines="50" w:before="180" w:line="360" w:lineRule="auto"/>
        <w:ind w:firstLineChars="200" w:firstLine="803"/>
        <w:jc w:val="center"/>
        <w:outlineLvl w:val="3"/>
        <w:rPr>
          <w:rFonts w:ascii="FangSong" w:eastAsia="FangSong" w:hAnsi="FangSong" w:cs="Times New Roman"/>
          <w:b/>
          <w:bCs/>
          <w:snapToGrid w:val="0"/>
          <w:kern w:val="24"/>
          <w:sz w:val="40"/>
          <w:szCs w:val="36"/>
          <w:lang w:eastAsia="zh-CN"/>
        </w:rPr>
      </w:pPr>
      <w:bookmarkStart w:id="0" w:name="OLE_LINK2"/>
      <w:bookmarkStart w:id="1" w:name="OLE_LINK1"/>
      <w:r>
        <w:rPr>
          <w:rFonts w:ascii="FangSong" w:eastAsia="FangSong" w:hAnsi="FangSong" w:cs="Times New Roman" w:hint="eastAsia"/>
          <w:b/>
          <w:bCs/>
          <w:snapToGrid w:val="0"/>
          <w:kern w:val="24"/>
          <w:sz w:val="40"/>
          <w:szCs w:val="36"/>
          <w:lang w:eastAsia="zh-CN"/>
        </w:rPr>
        <w:t>各家运营商关键业绩摘要</w:t>
      </w:r>
      <w:r>
        <w:rPr>
          <w:rFonts w:ascii="FangSong" w:eastAsia="FangSong" w:hAnsi="FangSong" w:cs="Times New Roman" w:hint="eastAsia"/>
          <w:b/>
          <w:bCs/>
          <w:snapToGrid w:val="0"/>
          <w:kern w:val="24"/>
          <w:sz w:val="40"/>
          <w:szCs w:val="36"/>
          <w:lang w:eastAsia="zh-CN"/>
        </w:rPr>
      </w:r>
      <w:r>
        <w:rPr>
          <w:rFonts w:ascii="FangSong" w:eastAsia="FangSong" w:hAnsi="FangSong" w:cs="Times New Roman"/>
          <w:b/>
          <w:bCs/>
          <w:snapToGrid w:val="0"/>
          <w:kern w:val="24"/>
          <w:sz w:val="40"/>
          <w:szCs w:val="36"/>
          <w:lang w:eastAsia="zh-CN"/>
        </w:rPr>
      </w:r>
      <w:r>
        <w:rPr>
          <w:rFonts w:ascii="FangSong" w:eastAsia="FangSong" w:hAnsi="FangSong" w:cs="Times New Roman" w:hint="eastAsia"/>
          <w:b/>
          <w:bCs/>
          <w:snapToGrid w:val="0"/>
          <w:kern w:val="24"/>
          <w:sz w:val="40"/>
          <w:szCs w:val="36"/>
          <w:lang w:eastAsia="zh-CN"/>
        </w:rPr>
      </w:r>
    </w:p>
    <w:bookmarkEnd w:id="0"/>
    <w:bookmarkEnd w:id="1"/>
    <w:p w14:paraId="499EED94" w14:textId="77777777" w:rsidR="00394201" w:rsidRDefault="002E2042">
      <w:pPr>
        <w:pStyle w:val="a3"/>
        <w:spacing w:before="0" w:after="0" w:line="312" w:lineRule="auto"/>
        <w:jc w:val="center"/>
        <w:rPr>
          <w:rFonts w:ascii="FangSong" w:eastAsia="FangSong" w:hAnsi="FangSong"/>
          <w:sz w:val="28"/>
          <w:lang w:eastAsia="zh-CN"/>
        </w:rPr>
      </w:pPr>
      <w:r>
        <w:rPr>
          <w:rFonts w:ascii="FangSong" w:eastAsia="FangSong" w:hAnsi="FangSong" w:hint="eastAsia"/>
          <w:sz w:val="28"/>
          <w:lang w:eastAsia="zh-CN"/>
        </w:rPr>
        <w:t>战略部（智库）对标分析简报</w:t>
      </w:r>
      <w:proofErr w:type="gramStart"/>
      <w:r>
        <w:rPr>
          <w:rFonts w:ascii="FangSong" w:eastAsia="FangSong" w:hAnsi="FangSong" w:hint="eastAsia"/>
          <w:sz w:val="28"/>
          <w:lang w:eastAsia="zh-CN"/>
        </w:rPr>
      </w:r>
      <w:proofErr w:type="gramEnd"/>
      <w:r>
        <w:rPr>
          <w:rFonts w:ascii="FangSong" w:eastAsia="FangSong" w:hAnsi="FangSong" w:hint="eastAsia"/>
          <w:sz w:val="28"/>
          <w:lang w:eastAsia="zh-CN"/>
        </w:rPr>
      </w:r>
    </w:p>
    <w:p w14:paraId="5066AAE1" w14:textId="77777777" w:rsidR="00394201" w:rsidRDefault="002E2042">
      <w:pPr>
        <w:snapToGrid w:val="0"/>
        <w:spacing w:before="60" w:line="312" w:lineRule="auto"/>
        <w:ind w:firstLineChars="200" w:firstLine="560"/>
        <w:outlineLvl w:val="3"/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pP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  <w:t>截至2026年6月1日，本报告基于系统最新公开信息监测结果自动生成。报告沿用参考模板版式，以结构化业绩基线数据为表格基础，并结合本轮爬取结果补充AI、算力、5G和资本开支相关动态；未在当前监测结果中取得新证据的部分会明确提示后续补充方向。</w:t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proofErr w:type="gramStart"/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proofErr w:type="gramEnd"/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bookmarkStart w:id="2" w:name="_Hlk225772476"/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bookmarkEnd w:id="2"/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</w:p>
    <w:p w14:paraId="3FB884F8" w14:textId="77777777" w:rsidR="00394201" w:rsidRDefault="002E2042">
      <w:pPr>
        <w:spacing w:line="312" w:lineRule="auto"/>
        <w:jc w:val="center"/>
        <w:rPr>
          <w:rFonts w:ascii="FangSong" w:eastAsia="FangSong" w:hAnsi="FangSong"/>
          <w:b/>
          <w:sz w:val="32"/>
          <w:lang w:eastAsia="zh-CN"/>
        </w:rPr>
      </w:pPr>
      <w:r>
        <w:rPr>
          <w:rFonts w:ascii="FangSong" w:eastAsia="FangSong" w:hAnsi="FangSong" w:hint="eastAsia"/>
          <w:b/>
          <w:sz w:val="32"/>
          <w:lang w:eastAsia="zh-CN"/>
        </w:rPr>
        <w:t>表：各家运营商关键业绩数据汇总（结构化基线）</w:t>
      </w:r>
      <w:r>
        <w:rPr>
          <w:rFonts w:ascii="FangSong" w:eastAsia="FangSong" w:hAnsi="FangSong"/>
          <w:b/>
          <w:sz w:val="32"/>
          <w:lang w:eastAsia="zh-CN"/>
        </w:rPr>
      </w:r>
      <w:r>
        <w:rPr>
          <w:rFonts w:ascii="FangSong" w:eastAsia="FangSong" w:hAnsi="FangSong" w:hint="eastAsia"/>
          <w:b/>
          <w:sz w:val="32"/>
          <w:lang w:eastAsia="zh-CN"/>
        </w:rPr>
      </w:r>
    </w:p>
    <w:tbl>
      <w:tblPr>
        <w:tblStyle w:val="ad"/>
        <w:tblW w:w="8818" w:type="dxa"/>
        <w:jc w:val="center"/>
        <w:tblLook w:val="04A0" w:firstRow="1" w:lastRow="0" w:firstColumn="1" w:lastColumn="0" w:noHBand="0" w:noVBand="1"/>
      </w:tblPr>
      <w:tblGrid>
        <w:gridCol w:w="2701"/>
        <w:gridCol w:w="1382"/>
        <w:gridCol w:w="1382"/>
        <w:gridCol w:w="1383"/>
        <w:gridCol w:w="1970"/>
      </w:tblGrid>
      <w:tr w:rsidR="00BA3003" w14:paraId="58BB608A" w14:textId="77777777" w:rsidTr="00BA3003">
        <w:trPr>
          <w:trHeight w:val="569"/>
          <w:jc w:val="center"/>
        </w:trPr>
        <w:tc>
          <w:tcPr>
            <w:tcW w:w="2701" w:type="dxa"/>
          </w:tcPr>
          <w:p>
            <w:r/>
          </w:p>
        </w:tc>
        <w:tc>
          <w:tcPr>
            <w:tcW w:w="1382" w:type="dxa"/>
          </w:tcPr>
          <w:p>
            <w:r>
              <w:t>中国移动</w:t>
            </w:r>
          </w:p>
        </w:tc>
        <w:tc>
          <w:tcPr>
            <w:tcW w:w="1382" w:type="dxa"/>
          </w:tcPr>
          <w:p>
            <w:r>
              <w:t>中国电信</w:t>
            </w:r>
          </w:p>
        </w:tc>
        <w:tc>
          <w:tcPr>
            <w:tcW w:w="1383" w:type="dxa"/>
          </w:tcPr>
          <w:p>
            <w:r>
              <w:t>中国联通</w:t>
            </w:r>
          </w:p>
        </w:tc>
        <w:tc>
          <w:tcPr>
            <w:tcW w:w="1970" w:type="dxa"/>
          </w:tcPr>
          <w:p>
            <w:r>
              <w:t>中国铁塔</w:t>
            </w:r>
          </w:p>
        </w:tc>
      </w:tr>
      <w:tr w:rsidR="00BA3003" w14:paraId="724C57C1" w14:textId="77777777" w:rsidTr="00BA3003">
        <w:trPr>
          <w:trHeight w:val="977"/>
          <w:jc w:val="center"/>
        </w:trPr>
        <w:tc>
          <w:tcPr>
            <w:tcW w:w="2701" w:type="dxa"/>
          </w:tcPr>
          <w:p>
            <w:r>
              <w:t>营业收入（亿元）</w:t>
            </w:r>
          </w:p>
        </w:tc>
        <w:tc>
          <w:tcPr>
            <w:tcW w:w="1382" w:type="dxa"/>
          </w:tcPr>
          <w:p>
            <w:r>
              <w:t>10502</w:t>
              <w:br/>
              <w:t>+0.9%</w:t>
            </w:r>
          </w:p>
        </w:tc>
        <w:tc>
          <w:tcPr>
            <w:tcW w:w="1382" w:type="dxa"/>
          </w:tcPr>
          <w:p>
            <w:r>
              <w:t>5296</w:t>
              <w:br/>
              <w:t>+0.03%</w:t>
            </w:r>
          </w:p>
        </w:tc>
        <w:tc>
          <w:tcPr>
            <w:tcW w:w="1383" w:type="dxa"/>
          </w:tcPr>
          <w:p>
            <w:r>
              <w:t>3922</w:t>
              <w:br/>
              <w:t>+0.7%</w:t>
            </w:r>
          </w:p>
        </w:tc>
        <w:tc>
          <w:tcPr>
            <w:tcW w:w="1970" w:type="dxa"/>
          </w:tcPr>
          <w:p>
            <w:r>
              <w:t>1004</w:t>
              <w:br/>
              <w:t>+2.7%</w:t>
            </w:r>
          </w:p>
        </w:tc>
      </w:tr>
      <w:tr w:rsidR="00BA3003" w14:paraId="21098F54" w14:textId="77777777" w:rsidTr="00BA3003">
        <w:trPr>
          <w:trHeight w:val="1215"/>
          <w:jc w:val="center"/>
        </w:trPr>
        <w:tc>
          <w:tcPr>
            <w:tcW w:w="2701" w:type="dxa"/>
          </w:tcPr>
          <w:p>
            <w:r>
              <w:t>主营业务收入（亿元）</w:t>
            </w:r>
          </w:p>
        </w:tc>
        <w:tc>
          <w:tcPr>
            <w:tcW w:w="1382" w:type="dxa"/>
          </w:tcPr>
          <w:p>
            <w:r>
              <w:t>8955</w:t>
              <w:br/>
              <w:t>+0.7%</w:t>
            </w:r>
          </w:p>
        </w:tc>
        <w:tc>
          <w:tcPr>
            <w:tcW w:w="1382" w:type="dxa"/>
          </w:tcPr>
          <w:p>
            <w:r>
              <w:t>4854</w:t>
              <w:br/>
              <w:t>+0.7%</w:t>
            </w:r>
          </w:p>
        </w:tc>
        <w:tc>
          <w:tcPr>
            <w:tcW w:w="1383" w:type="dxa"/>
          </w:tcPr>
          <w:p>
            <w:r>
              <w:t>3477</w:t>
              <w:br/>
              <w:t>+0.5%</w:t>
            </w:r>
          </w:p>
        </w:tc>
        <w:tc>
          <w:tcPr>
            <w:tcW w:w="1970" w:type="dxa"/>
          </w:tcPr>
          <w:p>
            <w:r>
              <w:t>运营商业务收入 847.25亿元 +0.7%</w:t>
            </w:r>
          </w:p>
        </w:tc>
      </w:tr>
      <w:tr w:rsidR="00BA3003" w14:paraId="4BC2B377" w14:textId="77777777" w:rsidTr="00BA3003">
        <w:trPr>
          <w:trHeight w:val="912"/>
          <w:jc w:val="center"/>
        </w:trPr>
        <w:tc>
          <w:tcPr>
            <w:tcW w:w="2701" w:type="dxa"/>
          </w:tcPr>
          <w:p>
            <w:r>
              <w:t>EBITDA(亿元)</w:t>
            </w:r>
          </w:p>
        </w:tc>
        <w:tc>
          <w:tcPr>
            <w:tcW w:w="1382" w:type="dxa"/>
          </w:tcPr>
          <w:p>
            <w:r>
              <w:t>3389</w:t>
              <w:br/>
              <w:t>+1.6%</w:t>
            </w:r>
          </w:p>
        </w:tc>
        <w:tc>
          <w:tcPr>
            <w:tcW w:w="1382" w:type="dxa"/>
          </w:tcPr>
          <w:p>
            <w:r>
              <w:t>1439</w:t>
              <w:br/>
              <w:t>+2.1%</w:t>
            </w:r>
          </w:p>
        </w:tc>
        <w:tc>
          <w:tcPr>
            <w:tcW w:w="1383" w:type="dxa"/>
          </w:tcPr>
          <w:p>
            <w:r>
              <w:t>994</w:t>
              <w:br/>
              <w:t>+0%</w:t>
            </w:r>
          </w:p>
        </w:tc>
        <w:tc>
          <w:tcPr>
            <w:tcW w:w="1970" w:type="dxa"/>
          </w:tcPr>
          <w:p>
            <w:r>
              <w:t>658.14</w:t>
              <w:br/>
              <w:t>-1.1%</w:t>
            </w:r>
          </w:p>
        </w:tc>
      </w:tr>
      <w:tr w:rsidR="00BA3003" w14:paraId="7045117A" w14:textId="77777777" w:rsidTr="00BA3003">
        <w:trPr>
          <w:trHeight w:val="1089"/>
          <w:jc w:val="center"/>
        </w:trPr>
        <w:tc>
          <w:tcPr>
            <w:tcW w:w="2701" w:type="dxa"/>
          </w:tcPr>
          <w:p>
            <w:r>
              <w:t>归母净利润（亿元）</w:t>
            </w:r>
          </w:p>
        </w:tc>
        <w:tc>
          <w:tcPr>
            <w:tcW w:w="1382" w:type="dxa"/>
          </w:tcPr>
          <w:p>
            <w:r>
              <w:t>1371</w:t>
              <w:br/>
              <w:t>-0.9%</w:t>
            </w:r>
          </w:p>
        </w:tc>
        <w:tc>
          <w:tcPr>
            <w:tcW w:w="1382" w:type="dxa"/>
          </w:tcPr>
          <w:p>
            <w:r>
              <w:t>332</w:t>
              <w:br/>
              <w:t>+0.5%</w:t>
            </w:r>
          </w:p>
        </w:tc>
        <w:tc>
          <w:tcPr>
            <w:tcW w:w="1383" w:type="dxa"/>
          </w:tcPr>
          <w:p>
            <w:r>
              <w:t>91</w:t>
              <w:br/>
              <w:t>+1.1%</w:t>
            </w:r>
          </w:p>
        </w:tc>
        <w:tc>
          <w:tcPr>
            <w:tcW w:w="1970" w:type="dxa"/>
          </w:tcPr>
          <w:p>
            <w:r>
              <w:t>116</w:t>
              <w:br/>
              <w:t>+8.4%</w:t>
            </w:r>
          </w:p>
        </w:tc>
      </w:tr>
      <w:tr w:rsidR="00BA3003" w14:paraId="788B3B0A" w14:textId="77777777" w:rsidTr="00BA3003">
        <w:trPr>
          <w:trHeight w:val="569"/>
          <w:jc w:val="center"/>
        </w:trPr>
        <w:tc>
          <w:tcPr>
            <w:tcW w:w="2701" w:type="dxa"/>
          </w:tcPr>
          <w:p>
            <w:r>
              <w:t>净利率</w:t>
            </w:r>
          </w:p>
        </w:tc>
        <w:tc>
          <w:tcPr>
            <w:tcW w:w="1382" w:type="dxa"/>
          </w:tcPr>
          <w:p>
            <w:r>
              <w:t>13.1%</w:t>
            </w:r>
          </w:p>
        </w:tc>
        <w:tc>
          <w:tcPr>
            <w:tcW w:w="1382" w:type="dxa"/>
          </w:tcPr>
          <w:p>
            <w:r>
              <w:t>6.3%</w:t>
            </w:r>
          </w:p>
        </w:tc>
        <w:tc>
          <w:tcPr>
            <w:tcW w:w="1383" w:type="dxa"/>
          </w:tcPr>
          <w:p>
            <w:r>
              <w:t>2.3%</w:t>
            </w:r>
          </w:p>
        </w:tc>
        <w:tc>
          <w:tcPr>
            <w:tcW w:w="1970" w:type="dxa"/>
          </w:tcPr>
          <w:p>
            <w:r>
              <w:t>11.6%</w:t>
            </w:r>
          </w:p>
        </w:tc>
      </w:tr>
      <w:tr w:rsidR="00BA3003" w14:paraId="10705560" w14:textId="77777777" w:rsidTr="00BA3003">
        <w:trPr>
          <w:trHeight w:val="601"/>
          <w:jc w:val="center"/>
        </w:trPr>
        <w:tc>
          <w:tcPr>
            <w:tcW w:w="2701" w:type="dxa"/>
          </w:tcPr>
          <w:p>
            <w:r>
              <w:t>资本开支（亿元）</w:t>
            </w:r>
          </w:p>
        </w:tc>
        <w:tc>
          <w:tcPr>
            <w:tcW w:w="1382" w:type="dxa"/>
          </w:tcPr>
          <w:p>
            <w:r>
              <w:t>1509</w:t>
              <w:br/>
              <w:t>-8.0%</w:t>
            </w:r>
          </w:p>
        </w:tc>
        <w:tc>
          <w:tcPr>
            <w:tcW w:w="1382" w:type="dxa"/>
          </w:tcPr>
          <w:p>
            <w:r>
              <w:t>804</w:t>
              <w:br/>
              <w:t>-14.0%</w:t>
            </w:r>
          </w:p>
        </w:tc>
        <w:tc>
          <w:tcPr>
            <w:tcW w:w="1383" w:type="dxa"/>
          </w:tcPr>
          <w:p>
            <w:r>
              <w:t>542</w:t>
              <w:br/>
              <w:t>-11.7%</w:t>
            </w:r>
          </w:p>
        </w:tc>
        <w:tc>
          <w:tcPr>
            <w:tcW w:w="1970" w:type="dxa"/>
          </w:tcPr>
          <w:p>
            <w:r>
              <w:t>295</w:t>
              <w:br/>
              <w:t>-7.7%</w:t>
            </w:r>
          </w:p>
        </w:tc>
      </w:tr>
      <w:tr w:rsidR="00BA3003" w14:paraId="6F9B501E" w14:textId="77777777" w:rsidTr="00BA3003">
        <w:trPr>
          <w:trHeight w:val="569"/>
          <w:jc w:val="center"/>
        </w:trPr>
        <w:tc>
          <w:tcPr>
            <w:tcW w:w="2701" w:type="dxa"/>
          </w:tcPr>
          <w:p>
            <w:r>
              <w:t>资本开支2026年计划（亿元）</w:t>
            </w:r>
          </w:p>
        </w:tc>
        <w:tc>
          <w:tcPr>
            <w:tcW w:w="1382" w:type="dxa"/>
          </w:tcPr>
          <w:p>
            <w:r>
              <w:t>1366</w:t>
            </w:r>
          </w:p>
        </w:tc>
        <w:tc>
          <w:tcPr>
            <w:tcW w:w="1382" w:type="dxa"/>
          </w:tcPr>
          <w:p>
            <w:r>
              <w:t>730</w:t>
            </w:r>
          </w:p>
        </w:tc>
        <w:tc>
          <w:tcPr>
            <w:tcW w:w="1383" w:type="dxa"/>
          </w:tcPr>
          <w:p>
            <w:r>
              <w:t>500</w:t>
            </w:r>
          </w:p>
        </w:tc>
        <w:tc>
          <w:tcPr>
            <w:tcW w:w="1970" w:type="dxa"/>
          </w:tcPr>
          <w:p>
            <w:r>
              <w:t>未披露</w:t>
            </w:r>
          </w:p>
        </w:tc>
      </w:tr>
      <w:tr w:rsidR="00BA3003" w14:paraId="433CAB3D" w14:textId="77777777" w:rsidTr="00BA3003">
        <w:trPr>
          <w:trHeight w:val="569"/>
          <w:jc w:val="center"/>
        </w:trPr>
        <w:tc>
          <w:tcPr>
            <w:tcW w:w="2701" w:type="dxa"/>
          </w:tcPr>
          <w:p>
            <w:r>
              <w:t>移动用户数（亿户）</w:t>
            </w:r>
          </w:p>
        </w:tc>
        <w:tc>
          <w:tcPr>
            <w:tcW w:w="1382" w:type="dxa"/>
          </w:tcPr>
          <w:p>
            <w:r>
              <w:t>10.05</w:t>
            </w:r>
          </w:p>
        </w:tc>
        <w:tc>
          <w:tcPr>
            <w:tcW w:w="1382" w:type="dxa"/>
          </w:tcPr>
          <w:p>
            <w:r>
              <w:t>4.39</w:t>
            </w:r>
          </w:p>
        </w:tc>
        <w:tc>
          <w:tcPr>
            <w:tcW w:w="1383" w:type="dxa"/>
          </w:tcPr>
          <w:p>
            <w:r>
              <w:t>3.57</w:t>
            </w:r>
          </w:p>
        </w:tc>
        <w:tc>
          <w:tcPr>
            <w:tcW w:w="1970" w:type="dxa"/>
          </w:tcPr>
          <w:p>
            <w:r>
              <w:t>不涉及</w:t>
            </w:r>
          </w:p>
        </w:tc>
      </w:tr>
      <w:tr w:rsidR="00BA3003" w14:paraId="3C2B5CD4" w14:textId="77777777" w:rsidTr="00BA3003">
        <w:trPr>
          <w:trHeight w:val="569"/>
          <w:jc w:val="center"/>
        </w:trPr>
        <w:tc>
          <w:tcPr>
            <w:tcW w:w="2701" w:type="dxa"/>
          </w:tcPr>
          <w:p>
            <w:r>
              <w:t>5G网络用户数（亿户）</w:t>
            </w:r>
          </w:p>
        </w:tc>
        <w:tc>
          <w:tcPr>
            <w:tcW w:w="1382" w:type="dxa"/>
          </w:tcPr>
          <w:p>
            <w:r>
              <w:t>6.42</w:t>
            </w:r>
          </w:p>
        </w:tc>
        <w:tc>
          <w:tcPr>
            <w:tcW w:w="1382" w:type="dxa"/>
          </w:tcPr>
          <w:p>
            <w:r>
              <w:t>3.02</w:t>
            </w:r>
          </w:p>
        </w:tc>
        <w:tc>
          <w:tcPr>
            <w:tcW w:w="1383" w:type="dxa"/>
          </w:tcPr>
          <w:p>
            <w:r>
              <w:t>2.32</w:t>
            </w:r>
          </w:p>
        </w:tc>
        <w:tc>
          <w:tcPr>
            <w:tcW w:w="1970" w:type="dxa"/>
          </w:tcPr>
          <w:p>
            <w:r>
              <w:t>不涉及</w:t>
            </w:r>
          </w:p>
        </w:tc>
      </w:tr>
      <w:tr w:rsidR="00BA3003" w14:paraId="554C3DD1" w14:textId="77777777" w:rsidTr="00BA3003">
        <w:trPr>
          <w:trHeight w:val="50"/>
          <w:jc w:val="center"/>
        </w:trPr>
        <w:tc>
          <w:tcPr>
            <w:tcW w:w="2701" w:type="dxa"/>
          </w:tcPr>
          <w:p>
            <w:r>
              <w:t>5G网络渗透率</w:t>
            </w:r>
          </w:p>
        </w:tc>
        <w:tc>
          <w:tcPr>
            <w:tcW w:w="1382" w:type="dxa"/>
          </w:tcPr>
          <w:p>
            <w:r>
              <w:t>63.9%</w:t>
            </w:r>
          </w:p>
        </w:tc>
        <w:tc>
          <w:tcPr>
            <w:tcW w:w="1382" w:type="dxa"/>
          </w:tcPr>
          <w:p>
            <w:r>
              <w:t>68.8%</w:t>
            </w:r>
          </w:p>
        </w:tc>
        <w:tc>
          <w:tcPr>
            <w:tcW w:w="1383" w:type="dxa"/>
          </w:tcPr>
          <w:p>
            <w:r>
              <w:t>65.0%</w:t>
            </w:r>
          </w:p>
        </w:tc>
        <w:tc>
          <w:tcPr>
            <w:tcW w:w="1970" w:type="dxa"/>
          </w:tcPr>
          <w:p>
            <w:r>
              <w:t>不涉及</w:t>
            </w:r>
          </w:p>
        </w:tc>
      </w:tr>
    </w:tbl>
    <w:p w14:paraId="47F3CC3F" w14:textId="77777777" w:rsidR="00394201" w:rsidRDefault="002E2042">
      <w:pPr>
        <w:pStyle w:val="af"/>
        <w:numPr>
          <w:ilvl w:val="0"/>
          <w:numId w:val="1"/>
        </w:numPr>
        <w:spacing w:before="180" w:line="312" w:lineRule="auto"/>
        <w:ind w:leftChars="0"/>
        <w:jc w:val="both"/>
        <w:rPr>
          <w:rFonts w:ascii="Times New Roman" w:eastAsia="FangSong_GB2312" w:hAnsi="Times New Roman" w:cs="Times New Roman"/>
          <w:b/>
          <w:sz w:val="32"/>
          <w:szCs w:val="32"/>
          <w:lang w:eastAsia="zh-CN"/>
        </w:rPr>
      </w:pPr>
      <w:r>
        <w:rPr>
          <w:rFonts w:ascii="Times New Roman" w:eastAsia="FangSong_GB2312" w:hAnsi="Times New Roman" w:cs="Times New Roman" w:hint="eastAsia"/>
          <w:b/>
          <w:sz w:val="32"/>
          <w:szCs w:val="32"/>
          <w:lang w:eastAsia="zh-CN"/>
        </w:rPr>
        <w:t>中国移动关键摘要</w:t>
      </w:r>
      <w:r>
        <w:rPr>
          <w:rFonts w:ascii="Times New Roman" w:eastAsia="FangSong_GB2312" w:hAnsi="Times New Roman" w:cs="Times New Roman"/>
          <w:b/>
          <w:sz w:val="32"/>
          <w:szCs w:val="32"/>
          <w:lang w:eastAsia="zh-CN"/>
        </w:rPr>
      </w:r>
      <w:r>
        <w:rPr>
          <w:rFonts w:ascii="Times New Roman" w:eastAsia="FangSong_GB2312" w:hAnsi="Times New Roman" w:cs="Times New Roman" w:hint="eastAsia"/>
          <w:b/>
          <w:sz w:val="32"/>
          <w:szCs w:val="32"/>
          <w:lang w:eastAsia="zh-CN"/>
        </w:rPr>
      </w:r>
      <w:r>
        <w:rPr>
          <w:rFonts w:ascii="Times New Roman" w:eastAsia="FangSong_GB2312" w:hAnsi="Times New Roman" w:cs="Times New Roman" w:hint="eastAsia"/>
          <w:b/>
          <w:sz w:val="32"/>
          <w:szCs w:val="32"/>
          <w:lang w:eastAsia="zh-CN"/>
        </w:rPr>
      </w:r>
      <w:r>
        <w:rPr>
          <w:rFonts w:ascii="Times New Roman" w:eastAsia="FangSong_GB2312" w:hAnsi="Times New Roman" w:cs="Times New Roman"/>
          <w:b/>
          <w:sz w:val="32"/>
          <w:szCs w:val="32"/>
          <w:lang w:eastAsia="zh-CN"/>
        </w:rPr>
      </w:r>
      <w:r>
        <w:rPr>
          <w:rFonts w:ascii="Times New Roman" w:eastAsia="FangSong_GB2312" w:hAnsi="Times New Roman" w:cs="Times New Roman" w:hint="eastAsia"/>
          <w:b/>
          <w:sz w:val="32"/>
          <w:szCs w:val="32"/>
          <w:lang w:eastAsia="zh-CN"/>
        </w:rPr>
      </w:r>
    </w:p>
    <w:p w14:paraId="6EEF6141" w14:textId="77777777" w:rsidR="00394201" w:rsidRDefault="002E2042">
      <w:pPr>
        <w:pStyle w:val="af"/>
        <w:numPr>
          <w:ilvl w:val="0"/>
          <w:numId w:val="2"/>
        </w:numPr>
        <w:snapToGrid w:val="0"/>
        <w:spacing w:before="180" w:line="312" w:lineRule="auto"/>
        <w:ind w:leftChars="0"/>
        <w:jc w:val="both"/>
        <w:outlineLvl w:val="3"/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pPr>
      <w:r>
        <w:rPr>
          <w:rFonts w:ascii="FangSong" w:eastAsia="FangSong" w:hAnsi="FangSong" w:cs="Times New Roman" w:hint="eastAsia"/>
          <w:b/>
          <w:bCs/>
          <w:snapToGrid w:val="0"/>
          <w:kern w:val="24"/>
          <w:sz w:val="28"/>
          <w:szCs w:val="24"/>
          <w:lang w:eastAsia="zh-CN"/>
        </w:rPr>
        <w:t>核心业绩：营业收入为10502 +0.9%，主营业务收入为8955 +0.7%，EBITDA为3389 +1.6%，归母净利润为1371 -0.9%，净利率为13.1%。</w:t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</w:p>
    <w:p w14:paraId="6B5A2805" w14:textId="77777777" w:rsidR="00394201" w:rsidRDefault="002E2042">
      <w:pPr>
        <w:pStyle w:val="af"/>
        <w:numPr>
          <w:ilvl w:val="0"/>
          <w:numId w:val="2"/>
        </w:numPr>
        <w:snapToGrid w:val="0"/>
        <w:spacing w:before="180" w:line="312" w:lineRule="auto"/>
        <w:ind w:leftChars="0"/>
        <w:jc w:val="both"/>
        <w:outlineLvl w:val="3"/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pPr>
      <w:r>
        <w:rPr>
          <w:rFonts w:ascii="FangSong" w:eastAsia="FangSong" w:hAnsi="FangSong" w:cs="Times New Roman" w:hint="eastAsia"/>
          <w:b/>
          <w:bCs/>
          <w:snapToGrid w:val="0"/>
          <w:kern w:val="24"/>
          <w:sz w:val="28"/>
          <w:szCs w:val="24"/>
          <w:lang w:eastAsia="zh-CN"/>
        </w:rPr>
        <w:t>资本开支：2025年资本开支为1509 -8.0%，2026年计划为1366；后续需持续关注投资结构是否继续向算力、AI和网络能力升级倾斜。</w:t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proofErr w:type="gramStart"/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proofErr w:type="gramEnd"/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proofErr w:type="gramStart"/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proofErr w:type="gramEnd"/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proofErr w:type="gramStart"/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proofErr w:type="gramEnd"/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</w:p>
    <w:p w14:paraId="253A37E2" w14:textId="77777777" w:rsidR="00394201" w:rsidRDefault="002E2042">
      <w:pPr>
        <w:pStyle w:val="af"/>
        <w:numPr>
          <w:ilvl w:val="0"/>
          <w:numId w:val="2"/>
        </w:numPr>
        <w:snapToGrid w:val="0"/>
        <w:spacing w:before="180" w:line="312" w:lineRule="auto"/>
        <w:ind w:leftChars="0"/>
        <w:jc w:val="both"/>
        <w:outlineLvl w:val="3"/>
        <w:rPr>
          <w:rFonts w:ascii="FangSong" w:eastAsia="FangSong" w:hAnsi="FangSong" w:cs="Times New Roman"/>
          <w:b/>
          <w:bCs/>
          <w:snapToGrid w:val="0"/>
          <w:kern w:val="24"/>
          <w:sz w:val="28"/>
          <w:szCs w:val="24"/>
          <w:lang w:eastAsia="zh-CN"/>
        </w:rPr>
      </w:pPr>
      <w:r>
        <w:rPr>
          <w:rFonts w:ascii="FangSong" w:eastAsia="FangSong" w:hAnsi="FangSong" w:cs="Times New Roman" w:hint="eastAsia"/>
          <w:b/>
          <w:bCs/>
          <w:snapToGrid w:val="0"/>
          <w:kern w:val="24"/>
          <w:sz w:val="28"/>
          <w:szCs w:val="24"/>
          <w:lang w:eastAsia="zh-CN"/>
        </w:rPr>
        <w:t>用户与网络：移动用户数为10.05，5G网络用户数为6.42，5G网络渗透率为63.9%。</w:t>
      </w:r>
    </w:p>
    <w:p w14:paraId="2B70168C" w14:textId="77777777" w:rsidR="00394201" w:rsidRDefault="002E2042">
      <w:pPr>
        <w:pStyle w:val="af"/>
        <w:numPr>
          <w:ilvl w:val="1"/>
          <w:numId w:val="3"/>
        </w:numPr>
        <w:snapToGrid w:val="0"/>
        <w:spacing w:before="180" w:line="312" w:lineRule="auto"/>
        <w:ind w:leftChars="0"/>
        <w:jc w:val="both"/>
        <w:outlineLvl w:val="3"/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pP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  <w:t>本轮监测补充：截至2026年6月1日，当前爬取结果中未取得新的可复核补充片段，需补充该公司的财报公告、业绩演示材料或交易所披露链接。</w:t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</w:p>
    <w:p w14:paraId="5FE59398" w14:textId="77777777" w:rsidR="00394201" w:rsidRDefault="002E2042">
      <w:pPr>
        <w:pStyle w:val="af"/>
        <w:numPr>
          <w:ilvl w:val="1"/>
          <w:numId w:val="3"/>
        </w:numPr>
        <w:snapToGrid w:val="0"/>
        <w:spacing w:before="180" w:line="312" w:lineRule="auto"/>
        <w:ind w:leftChars="0"/>
        <w:jc w:val="both"/>
        <w:outlineLvl w:val="3"/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pP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  <w:t>后续关注：建议按同一口径持续跟踪派息政策、资本开支变化、AI/算力投入、5G用户渗透和资本市场反馈，避免仅看单一收入指标。</w:t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</w:p>
    <w:p w14:paraId="3E29713B" w14:textId="77777777" w:rsidR="00394201" w:rsidRDefault="002E2042">
      <w:pPr>
        <w:pStyle w:val="af"/>
        <w:numPr>
          <w:ilvl w:val="1"/>
          <w:numId w:val="3"/>
        </w:numPr>
        <w:snapToGrid w:val="0"/>
        <w:spacing w:before="180" w:line="312" w:lineRule="auto"/>
        <w:ind w:leftChars="0"/>
        <w:jc w:val="both"/>
        <w:outlineLvl w:val="3"/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pP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  <w:t>中国电信关键摘要</w:t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</w:p>
    <w:p w14:paraId="0A8EFEBD" w14:textId="77777777" w:rsidR="00394201" w:rsidRDefault="002E2042">
      <w:pPr>
        <w:pStyle w:val="af"/>
        <w:numPr>
          <w:ilvl w:val="0"/>
          <w:numId w:val="2"/>
        </w:numPr>
        <w:snapToGrid w:val="0"/>
        <w:spacing w:before="180" w:line="312" w:lineRule="auto"/>
        <w:ind w:leftChars="0"/>
        <w:jc w:val="both"/>
        <w:outlineLvl w:val="3"/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pPr>
      <w:r>
        <w:rPr>
          <w:rFonts w:ascii="FangSong" w:eastAsia="FangSong" w:hAnsi="FangSong" w:cs="Times New Roman" w:hint="eastAsia"/>
          <w:b/>
          <w:bCs/>
          <w:snapToGrid w:val="0"/>
          <w:kern w:val="24"/>
          <w:sz w:val="28"/>
          <w:szCs w:val="24"/>
          <w:lang w:eastAsia="zh-CN"/>
        </w:rPr>
        <w:t>核心业绩：营业收入为5296 +0.03%，主营业务收入为4854 +0.7%，EBITDA为1439 +2.1%，归母净利润为332 +0.5%，净利率为6.3%。</w:t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proofErr w:type="gramStart"/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proofErr w:type="gramEnd"/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</w:p>
    <w:p w14:paraId="5B0198D5" w14:textId="77777777" w:rsidR="00394201" w:rsidRDefault="002E2042">
      <w:pPr>
        <w:pStyle w:val="af"/>
        <w:numPr>
          <w:ilvl w:val="0"/>
          <w:numId w:val="1"/>
        </w:numPr>
        <w:spacing w:before="180" w:line="312" w:lineRule="auto"/>
        <w:ind w:leftChars="0"/>
        <w:jc w:val="both"/>
        <w:rPr>
          <w:rFonts w:ascii="Times New Roman" w:eastAsia="FangSong_GB2312" w:hAnsi="Times New Roman" w:cs="Times New Roman"/>
          <w:b/>
          <w:sz w:val="32"/>
          <w:szCs w:val="32"/>
          <w:lang w:eastAsia="zh-CN"/>
        </w:rPr>
      </w:pPr>
      <w:r>
        <w:rPr>
          <w:rFonts w:ascii="Times New Roman" w:eastAsia="FangSong_GB2312" w:hAnsi="Times New Roman" w:cs="Times New Roman" w:hint="eastAsia"/>
          <w:b/>
          <w:sz w:val="32"/>
          <w:szCs w:val="32"/>
          <w:lang w:eastAsia="zh-CN"/>
        </w:rPr>
        <w:t>资本开支：2025年资本开支为804 -14.0%，2026年计划为730；后续需持续关注投资结构是否继续向算力、AI和网络能力升级倾斜。</w:t>
      </w:r>
      <w:r>
        <w:rPr>
          <w:rFonts w:ascii="Times New Roman" w:eastAsia="FangSong_GB2312" w:hAnsi="Times New Roman" w:cs="Times New Roman" w:hint="eastAsia"/>
          <w:b/>
          <w:sz w:val="32"/>
          <w:szCs w:val="32"/>
          <w:lang w:eastAsia="zh-CN"/>
        </w:rPr>
      </w:r>
      <w:r>
        <w:rPr>
          <w:rFonts w:ascii="Times New Roman" w:eastAsia="FangSong_GB2312" w:hAnsi="Times New Roman" w:cs="Times New Roman" w:hint="eastAsia"/>
          <w:b/>
          <w:sz w:val="32"/>
          <w:szCs w:val="32"/>
          <w:lang w:eastAsia="zh-CN"/>
        </w:rPr>
      </w:r>
      <w:r>
        <w:rPr>
          <w:rFonts w:ascii="Times New Roman" w:eastAsia="FangSong_GB2312" w:hAnsi="Times New Roman" w:cs="Times New Roman" w:hint="eastAsia"/>
          <w:b/>
          <w:sz w:val="32"/>
          <w:szCs w:val="32"/>
          <w:lang w:eastAsia="zh-CN"/>
        </w:rPr>
      </w:r>
      <w:r>
        <w:rPr>
          <w:rFonts w:ascii="Times New Roman" w:eastAsia="FangSong_GB2312" w:hAnsi="Times New Roman" w:cs="Times New Roman"/>
          <w:b/>
          <w:sz w:val="32"/>
          <w:szCs w:val="32"/>
          <w:lang w:eastAsia="zh-CN"/>
        </w:rPr>
      </w:r>
      <w:r>
        <w:rPr>
          <w:rFonts w:ascii="Times New Roman" w:eastAsia="FangSong_GB2312" w:hAnsi="Times New Roman" w:cs="Times New Roman" w:hint="eastAsia"/>
          <w:b/>
          <w:sz w:val="32"/>
          <w:szCs w:val="32"/>
          <w:lang w:eastAsia="zh-CN"/>
        </w:rPr>
      </w:r>
    </w:p>
    <w:p w14:paraId="3D279F12" w14:textId="77777777" w:rsidR="00394201" w:rsidRDefault="002E2042">
      <w:pPr>
        <w:pStyle w:val="af"/>
        <w:numPr>
          <w:ilvl w:val="0"/>
          <w:numId w:val="4"/>
        </w:numPr>
        <w:snapToGrid w:val="0"/>
        <w:spacing w:before="180" w:line="312" w:lineRule="auto"/>
        <w:ind w:leftChars="0"/>
        <w:jc w:val="both"/>
        <w:outlineLvl w:val="3"/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pPr>
      <w:r>
        <w:rPr>
          <w:rFonts w:ascii="FangSong" w:eastAsia="FangSong" w:hAnsi="FangSong" w:cs="Times New Roman" w:hint="eastAsia"/>
          <w:b/>
          <w:bCs/>
          <w:snapToGrid w:val="0"/>
          <w:kern w:val="24"/>
          <w:sz w:val="28"/>
          <w:szCs w:val="24"/>
          <w:lang w:eastAsia="zh-CN"/>
        </w:rPr>
        <w:t>用户与网络：移动用户数为4.39，5G网络用户数为3.02，5G网络渗透率为68.8%。</w:t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</w:p>
    <w:p w14:paraId="2324F821" w14:textId="77777777" w:rsidR="00394201" w:rsidRDefault="002E2042">
      <w:pPr>
        <w:pStyle w:val="af"/>
        <w:numPr>
          <w:ilvl w:val="0"/>
          <w:numId w:val="4"/>
        </w:numPr>
        <w:snapToGrid w:val="0"/>
        <w:spacing w:before="180" w:line="312" w:lineRule="auto"/>
        <w:ind w:leftChars="0"/>
        <w:jc w:val="both"/>
        <w:outlineLvl w:val="3"/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pPr>
      <w:r>
        <w:rPr>
          <w:rFonts w:ascii="FangSong" w:eastAsia="FangSong" w:hAnsi="FangSong" w:cs="Times New Roman" w:hint="eastAsia"/>
          <w:b/>
          <w:bCs/>
          <w:snapToGrid w:val="0"/>
          <w:kern w:val="24"/>
          <w:sz w:val="28"/>
          <w:szCs w:val="24"/>
          <w:lang w:eastAsia="zh-CN"/>
        </w:rPr>
        <w:t>本轮监测补充：截至2026年6月1日，当前爬取结果中未取得新的可复核补充片段，需补充该公司的财报公告、业绩演示材料或交易所披露链接。</w:t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proofErr w:type="gramStart"/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proofErr w:type="gramEnd"/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</w:p>
    <w:p w14:paraId="722BF902" w14:textId="77777777" w:rsidR="00394201" w:rsidRDefault="002E2042">
      <w:pPr>
        <w:pStyle w:val="af"/>
        <w:numPr>
          <w:ilvl w:val="0"/>
          <w:numId w:val="4"/>
        </w:numPr>
        <w:snapToGrid w:val="0"/>
        <w:spacing w:before="180" w:line="312" w:lineRule="auto"/>
        <w:ind w:leftChars="0"/>
        <w:jc w:val="both"/>
        <w:outlineLvl w:val="3"/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pPr>
      <w:r>
        <w:rPr>
          <w:rFonts w:ascii="FangSong" w:eastAsia="FangSong" w:hAnsi="FangSong" w:cs="Times New Roman" w:hint="eastAsia"/>
          <w:b/>
          <w:bCs/>
          <w:snapToGrid w:val="0"/>
          <w:kern w:val="24"/>
          <w:sz w:val="28"/>
          <w:szCs w:val="24"/>
          <w:lang w:eastAsia="zh-CN"/>
        </w:rPr>
        <w:t>后续关注：建议按同一口径持续跟踪派息政策、资本开支变化、AI/算力投入、5G用户渗透和资本市场反馈，避免仅看单一收入指标。</w:t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</w:p>
    <w:p w14:paraId="65169C14" w14:textId="77777777" w:rsidR="00394201" w:rsidRDefault="002E2042">
      <w:pPr>
        <w:pStyle w:val="af"/>
        <w:numPr>
          <w:ilvl w:val="0"/>
          <w:numId w:val="4"/>
        </w:numPr>
        <w:snapToGrid w:val="0"/>
        <w:spacing w:before="180" w:line="312" w:lineRule="auto"/>
        <w:ind w:leftChars="0"/>
        <w:jc w:val="both"/>
        <w:outlineLvl w:val="3"/>
        <w:rPr>
          <w:rFonts w:ascii="FangSong" w:eastAsia="FangSong" w:hAnsi="FangSong" w:cs="Times New Roman"/>
          <w:b/>
          <w:bCs/>
          <w:snapToGrid w:val="0"/>
          <w:kern w:val="24"/>
          <w:sz w:val="28"/>
          <w:szCs w:val="24"/>
          <w:lang w:eastAsia="zh-CN"/>
        </w:rPr>
      </w:pPr>
      <w:r>
        <w:rPr>
          <w:rFonts w:ascii="FangSong" w:eastAsia="FangSong" w:hAnsi="FangSong" w:cs="Times New Roman" w:hint="eastAsia"/>
          <w:b/>
          <w:bCs/>
          <w:snapToGrid w:val="0"/>
          <w:kern w:val="24"/>
          <w:sz w:val="28"/>
          <w:szCs w:val="24"/>
          <w:lang w:eastAsia="zh-CN"/>
        </w:rPr>
        <w:t>中国联通关键摘要</w:t>
      </w:r>
    </w:p>
    <w:p w14:paraId="4BE59FF0" w14:textId="77777777" w:rsidR="00394201" w:rsidRDefault="002E2042">
      <w:pPr>
        <w:pStyle w:val="af"/>
        <w:numPr>
          <w:ilvl w:val="1"/>
          <w:numId w:val="3"/>
        </w:numPr>
        <w:snapToGrid w:val="0"/>
        <w:spacing w:before="180" w:line="312" w:lineRule="auto"/>
        <w:ind w:leftChars="0"/>
        <w:jc w:val="both"/>
        <w:outlineLvl w:val="3"/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pP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  <w:t>核心业绩：营业收入为3922 +0.7%，主营业务收入为3477 +0.5%，EBITDA为994 +0%，归母净利润为91 +1.1%，净利率为2.3%。</w:t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proofErr w:type="gramStart"/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proofErr w:type="gramEnd"/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proofErr w:type="gramStart"/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proofErr w:type="gramEnd"/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</w:p>
    <w:p w14:paraId="2797B837" w14:textId="77777777" w:rsidR="00394201" w:rsidRDefault="002E2042">
      <w:pPr>
        <w:pStyle w:val="af"/>
        <w:numPr>
          <w:ilvl w:val="1"/>
          <w:numId w:val="3"/>
        </w:numPr>
        <w:snapToGrid w:val="0"/>
        <w:spacing w:before="180" w:line="312" w:lineRule="auto"/>
        <w:ind w:leftChars="0"/>
        <w:jc w:val="both"/>
        <w:outlineLvl w:val="3"/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pP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  <w:t>资本开支：2025年资本开支为542 -11.7%，2026年计划为500；后续需持续关注投资结构是否继续向算力、AI和网络能力升级倾斜。</w:t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</w:p>
    <w:p w14:paraId="59361E01" w14:textId="77777777" w:rsidR="00394201" w:rsidRDefault="002E2042">
      <w:pPr>
        <w:pStyle w:val="af"/>
        <w:numPr>
          <w:ilvl w:val="0"/>
          <w:numId w:val="4"/>
        </w:numPr>
        <w:snapToGrid w:val="0"/>
        <w:spacing w:before="180" w:line="312" w:lineRule="auto"/>
        <w:ind w:leftChars="0"/>
        <w:jc w:val="both"/>
        <w:outlineLvl w:val="3"/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pPr>
      <w:r>
        <w:rPr>
          <w:rFonts w:ascii="FangSong" w:eastAsia="FangSong" w:hAnsi="FangSong" w:cs="Times New Roman" w:hint="eastAsia"/>
          <w:b/>
          <w:bCs/>
          <w:snapToGrid w:val="0"/>
          <w:kern w:val="24"/>
          <w:sz w:val="28"/>
          <w:szCs w:val="24"/>
          <w:lang w:eastAsia="zh-CN"/>
        </w:rPr>
        <w:t>用户与网络：移动用户数为3.57，5G网络用户数为2.32，5G网络渗透率为65.0%。</w:t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</w:p>
    <w:p w14:paraId="45E42671" w14:textId="77777777" w:rsidR="00394201" w:rsidRDefault="002E2042">
      <w:pPr>
        <w:pStyle w:val="af"/>
        <w:numPr>
          <w:ilvl w:val="0"/>
          <w:numId w:val="1"/>
        </w:numPr>
        <w:spacing w:before="180" w:line="312" w:lineRule="auto"/>
        <w:ind w:leftChars="0"/>
        <w:jc w:val="both"/>
        <w:rPr>
          <w:rFonts w:ascii="Times New Roman" w:eastAsia="FangSong_GB2312" w:hAnsi="Times New Roman" w:cs="Times New Roman"/>
          <w:b/>
          <w:sz w:val="32"/>
          <w:szCs w:val="32"/>
          <w:lang w:eastAsia="zh-CN"/>
        </w:rPr>
      </w:pPr>
      <w:r>
        <w:rPr>
          <w:rFonts w:ascii="Times New Roman" w:eastAsia="FangSong_GB2312" w:hAnsi="Times New Roman" w:cs="Times New Roman" w:hint="eastAsia"/>
          <w:b/>
          <w:sz w:val="32"/>
          <w:szCs w:val="32"/>
          <w:lang w:eastAsia="zh-CN"/>
        </w:rPr>
        <w:t>本轮监测补充：截至2026年6月1日，当前爬取结果中未取得新的可复核补充片段，需补充该公司的财报公告、业绩演示材料或交易所披露链接。</w:t>
      </w:r>
      <w:r>
        <w:rPr>
          <w:rFonts w:ascii="Times New Roman" w:eastAsia="FangSong_GB2312" w:hAnsi="Times New Roman" w:cs="Times New Roman" w:hint="eastAsia"/>
          <w:b/>
          <w:sz w:val="32"/>
          <w:szCs w:val="32"/>
          <w:lang w:eastAsia="zh-CN"/>
        </w:rPr>
      </w:r>
      <w:r>
        <w:rPr>
          <w:rFonts w:ascii="Times New Roman" w:eastAsia="FangSong_GB2312" w:hAnsi="Times New Roman" w:cs="Times New Roman" w:hint="eastAsia"/>
          <w:b/>
          <w:sz w:val="32"/>
          <w:szCs w:val="32"/>
          <w:lang w:eastAsia="zh-CN"/>
        </w:rPr>
      </w:r>
      <w:r>
        <w:rPr>
          <w:rFonts w:ascii="Times New Roman" w:eastAsia="FangSong_GB2312" w:hAnsi="Times New Roman" w:cs="Times New Roman" w:hint="eastAsia"/>
          <w:b/>
          <w:sz w:val="32"/>
          <w:szCs w:val="32"/>
          <w:lang w:eastAsia="zh-CN"/>
        </w:rPr>
      </w:r>
      <w:r>
        <w:rPr>
          <w:rFonts w:ascii="Times New Roman" w:eastAsia="FangSong_GB2312" w:hAnsi="Times New Roman" w:cs="Times New Roman"/>
          <w:b/>
          <w:sz w:val="32"/>
          <w:szCs w:val="32"/>
          <w:lang w:eastAsia="zh-CN"/>
        </w:rPr>
      </w:r>
      <w:r>
        <w:rPr>
          <w:rFonts w:ascii="Times New Roman" w:eastAsia="FangSong_GB2312" w:hAnsi="Times New Roman" w:cs="Times New Roman" w:hint="eastAsia"/>
          <w:b/>
          <w:sz w:val="32"/>
          <w:szCs w:val="32"/>
          <w:lang w:eastAsia="zh-CN"/>
        </w:rPr>
      </w:r>
    </w:p>
    <w:p w14:paraId="26432267" w14:textId="77777777" w:rsidR="00394201" w:rsidRDefault="002E2042">
      <w:pPr>
        <w:pStyle w:val="af"/>
        <w:numPr>
          <w:ilvl w:val="0"/>
          <w:numId w:val="5"/>
        </w:numPr>
        <w:snapToGrid w:val="0"/>
        <w:spacing w:before="180" w:line="312" w:lineRule="auto"/>
        <w:ind w:leftChars="0"/>
        <w:jc w:val="both"/>
        <w:outlineLvl w:val="3"/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pPr>
      <w:r>
        <w:rPr>
          <w:rFonts w:ascii="FangSong" w:eastAsia="FangSong" w:hAnsi="FangSong" w:cs="Times New Roman" w:hint="eastAsia"/>
          <w:b/>
          <w:bCs/>
          <w:snapToGrid w:val="0"/>
          <w:kern w:val="24"/>
          <w:sz w:val="28"/>
          <w:szCs w:val="24"/>
          <w:lang w:eastAsia="zh-CN"/>
        </w:rPr>
        <w:t>后续关注：建议按同一口径持续跟踪派息政策、资本开支变化、AI/算力投入、5G用户渗透和资本市场反馈，避免仅看单一收入指标。</w:t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</w:p>
    <w:p w14:paraId="5A053A13" w14:textId="77777777" w:rsidR="00394201" w:rsidRDefault="002E2042">
      <w:pPr>
        <w:pStyle w:val="af"/>
        <w:numPr>
          <w:ilvl w:val="0"/>
          <w:numId w:val="5"/>
        </w:numPr>
        <w:snapToGrid w:val="0"/>
        <w:spacing w:before="180" w:line="312" w:lineRule="auto"/>
        <w:ind w:leftChars="0"/>
        <w:jc w:val="both"/>
        <w:outlineLvl w:val="3"/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pP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  <w:t>中国铁塔关键摘要</w:t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proofErr w:type="gramStart"/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proofErr w:type="gramEnd"/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proofErr w:type="gramStart"/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proofErr w:type="gramEnd"/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</w:p>
    <w:p w14:paraId="74491257" w14:textId="77777777" w:rsidR="00394201" w:rsidRDefault="002E2042">
      <w:pPr>
        <w:pStyle w:val="af"/>
        <w:numPr>
          <w:ilvl w:val="0"/>
          <w:numId w:val="5"/>
        </w:numPr>
        <w:snapToGrid w:val="0"/>
        <w:spacing w:before="180" w:line="312" w:lineRule="auto"/>
        <w:ind w:leftChars="0"/>
        <w:jc w:val="both"/>
        <w:outlineLvl w:val="3"/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pP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  <w:t>核心业绩：营业收入为1004 +2.7%，主营业务收入为运营商业务收入 847.25亿元 +0.7%，EBITDA为658.14 -1.1%，归母净利润为116 +8.4%，净利率为11.6%。</w:t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</w:p>
    <w:p w14:paraId="585E8070" w14:textId="77777777" w:rsidR="00394201" w:rsidRDefault="002E2042">
      <w:pPr>
        <w:pStyle w:val="af"/>
        <w:numPr>
          <w:ilvl w:val="0"/>
          <w:numId w:val="5"/>
        </w:numPr>
        <w:snapToGrid w:val="0"/>
        <w:spacing w:before="180" w:line="312" w:lineRule="auto"/>
        <w:ind w:leftChars="0"/>
        <w:jc w:val="both"/>
        <w:outlineLvl w:val="3"/>
        <w:rPr>
          <w:rFonts w:ascii="FangSong" w:eastAsia="FangSong" w:hAnsi="FangSong" w:cs="Times New Roman"/>
          <w:b/>
          <w:bCs/>
          <w:snapToGrid w:val="0"/>
          <w:kern w:val="24"/>
          <w:sz w:val="28"/>
          <w:szCs w:val="24"/>
          <w:lang w:eastAsia="zh-CN"/>
        </w:rPr>
      </w:pPr>
      <w:r>
        <w:rPr>
          <w:rFonts w:ascii="FangSong" w:eastAsia="FangSong" w:hAnsi="FangSong" w:cs="Times New Roman" w:hint="eastAsia"/>
          <w:b/>
          <w:bCs/>
          <w:snapToGrid w:val="0"/>
          <w:kern w:val="24"/>
          <w:sz w:val="28"/>
          <w:szCs w:val="24"/>
          <w:lang w:eastAsia="zh-CN"/>
        </w:rPr>
        <w:t>资本开支：2025年资本开支为295 -7.7%，2026年计划为未披露；后续需持续关注投资结构是否继续向算力、AI和网络能力升级倾斜。</w:t>
      </w:r>
    </w:p>
    <w:p w14:paraId="3C722CDE" w14:textId="77777777" w:rsidR="00394201" w:rsidRDefault="002E2042">
      <w:pPr>
        <w:pStyle w:val="af"/>
        <w:numPr>
          <w:ilvl w:val="1"/>
          <w:numId w:val="6"/>
        </w:numPr>
        <w:snapToGrid w:val="0"/>
        <w:spacing w:before="180" w:line="312" w:lineRule="auto"/>
        <w:ind w:leftChars="0"/>
        <w:jc w:val="both"/>
        <w:outlineLvl w:val="3"/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pP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  <w:t>用户与网络：移动用户数为不涉及，5G网络用户数为不涉及，5G网络渗透率为不涉及。</w:t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</w:p>
    <w:p w14:paraId="2056DDDF" w14:textId="77777777" w:rsidR="00394201" w:rsidRDefault="002E2042">
      <w:pPr>
        <w:pStyle w:val="af"/>
        <w:numPr>
          <w:ilvl w:val="1"/>
          <w:numId w:val="6"/>
        </w:numPr>
        <w:snapToGrid w:val="0"/>
        <w:spacing w:before="180" w:line="312" w:lineRule="auto"/>
        <w:ind w:leftChars="0"/>
        <w:jc w:val="both"/>
        <w:outlineLvl w:val="3"/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pP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  <w:t>本轮监测补充：截至2026年6月1日，当前爬取结果中未取得新的可复核补充片段，需补充该公司的财报公告、业绩演示材料或交易所披露链接。</w:t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proofErr w:type="gramStart"/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proofErr w:type="gramEnd"/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proofErr w:type="gramStart"/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proofErr w:type="gramEnd"/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</w:p>
    <w:p w14:paraId="0D56653B" w14:textId="77777777" w:rsidR="00394201" w:rsidRDefault="002E2042">
      <w:pPr>
        <w:pStyle w:val="af"/>
        <w:numPr>
          <w:ilvl w:val="0"/>
          <w:numId w:val="5"/>
        </w:numPr>
        <w:snapToGrid w:val="0"/>
        <w:spacing w:before="180" w:line="312" w:lineRule="auto"/>
        <w:ind w:leftChars="0"/>
        <w:jc w:val="both"/>
        <w:outlineLvl w:val="3"/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pPr>
      <w:r>
        <w:rPr>
          <w:rFonts w:ascii="FangSong" w:eastAsia="FangSong" w:hAnsi="FangSong" w:cs="Times New Roman" w:hint="eastAsia"/>
          <w:b/>
          <w:bCs/>
          <w:snapToGrid w:val="0"/>
          <w:kern w:val="24"/>
          <w:sz w:val="28"/>
          <w:szCs w:val="24"/>
          <w:lang w:eastAsia="zh-CN"/>
        </w:rPr>
        <w:t>后续关注：建议按同一口径持续跟踪派息政策、资本开支变化、AI/算力投入、5G用户渗透和资本市场反馈，避免仅看单一收入指标。</w:t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/>
          <w:bCs/>
          <w:snapToGrid w:val="0"/>
          <w:kern w:val="24"/>
          <w:sz w:val="28"/>
          <w:szCs w:val="24"/>
          <w:lang w:eastAsia="zh-CN"/>
        </w:rPr>
      </w:r>
      <w:r>
        <w:rPr>
          <w:rFonts w:ascii="FangSong" w:eastAsia="FangSong" w:hAnsi="FangSong" w:cs="Times New Roman" w:hint="eastAsia"/>
          <w:bCs/>
          <w:snapToGrid w:val="0"/>
          <w:kern w:val="24"/>
          <w:sz w:val="28"/>
          <w:szCs w:val="24"/>
          <w:lang w:eastAsia="zh-CN"/>
        </w:rPr>
      </w:r>
    </w:p>
    <w:sectPr w:rsidR="00394201">
      <w:footerReference w:type="default" r:id="rId8"/>
      <w:pgSz w:w="11906" w:h="16838"/>
      <w:pgMar w:top="1440" w:right="1531" w:bottom="1440" w:left="153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CBCF131" w14:textId="77777777" w:rsidR="002E2042" w:rsidRDefault="002E2042">
      <w:r>
        <w:separator/>
      </w:r>
    </w:p>
  </w:endnote>
  <w:endnote w:type="continuationSeparator" w:id="0">
    <w:p w14:paraId="7DF90BE5" w14:textId="77777777" w:rsidR="002E2042" w:rsidRDefault="002E204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FangSong">
    <w:altName w:val="汉仪仿宋KW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FangSong_GB2312">
    <w:altName w:val="汉仪仿宋KW"/>
    <w:panose1 w:val="02010609060101010101"/>
    <w:charset w:val="86"/>
    <w:family w:val="modern"/>
    <w:pitch w:val="fixed"/>
    <w:sig w:usb0="00000003" w:usb1="080E0000" w:usb2="00000010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"/>
    </w:sdtPr>
    <w:sdtEndPr/>
    <w:sdtContent>
      <w:p w14:paraId="5ED3F80B" w14:textId="77777777" w:rsidR="00394201" w:rsidRDefault="002E2042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 w:eastAsia="zh-CN"/>
          </w:rPr>
          <w:t>2</w:t>
        </w:r>
        <w:r>
          <w:fldChar w:fldCharType="end"/>
        </w:r>
      </w:p>
    </w:sdtContent>
  </w:sdt>
  <w:p w14:paraId="69A9DBB3" w14:textId="77777777" w:rsidR="00394201" w:rsidRDefault="00394201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B4622A9" w14:textId="77777777" w:rsidR="002E2042" w:rsidRDefault="002E2042">
      <w:r>
        <w:separator/>
      </w:r>
    </w:p>
  </w:footnote>
  <w:footnote w:type="continuationSeparator" w:id="0">
    <w:p w14:paraId="61E0F990" w14:textId="77777777" w:rsidR="002E2042" w:rsidRDefault="002E204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170ABD"/>
    <w:multiLevelType w:val="multilevel"/>
    <w:tmpl w:val="04170ABD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F9956D2"/>
    <w:multiLevelType w:val="multilevel"/>
    <w:tmpl w:val="1F9956D2"/>
    <w:lvl w:ilvl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2" w15:restartNumberingAfterBreak="0">
    <w:nsid w:val="45BF6363"/>
    <w:multiLevelType w:val="multilevel"/>
    <w:tmpl w:val="45BF6363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51EF7C35"/>
    <w:multiLevelType w:val="multilevel"/>
    <w:tmpl w:val="51EF7C35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5B940A4D"/>
    <w:multiLevelType w:val="multilevel"/>
    <w:tmpl w:val="5B940A4D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5DBB12EB"/>
    <w:multiLevelType w:val="multilevel"/>
    <w:tmpl w:val="5DBB12EB"/>
    <w:lvl w:ilvl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6" w15:restartNumberingAfterBreak="0">
    <w:nsid w:val="72225702"/>
    <w:multiLevelType w:val="multilevel"/>
    <w:tmpl w:val="72225702"/>
    <w:lvl w:ilvl="0">
      <w:start w:val="1"/>
      <w:numFmt w:val="taiwaneseCountingThousand"/>
      <w:lvlText w:val="%1、"/>
      <w:lvlJc w:val="left"/>
      <w:pPr>
        <w:ind w:left="480" w:hanging="480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743A3154"/>
    <w:multiLevelType w:val="multilevel"/>
    <w:tmpl w:val="743A3154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75016AF5"/>
    <w:multiLevelType w:val="multilevel"/>
    <w:tmpl w:val="75016AF5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767F47FF"/>
    <w:multiLevelType w:val="multilevel"/>
    <w:tmpl w:val="767F47FF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6"/>
  </w:num>
  <w:num w:numId="2">
    <w:abstractNumId w:val="0"/>
  </w:num>
  <w:num w:numId="3">
    <w:abstractNumId w:val="5"/>
  </w:num>
  <w:num w:numId="4">
    <w:abstractNumId w:val="2"/>
  </w:num>
  <w:num w:numId="5">
    <w:abstractNumId w:val="7"/>
  </w:num>
  <w:num w:numId="6">
    <w:abstractNumId w:val="1"/>
  </w:num>
  <w:num w:numId="7">
    <w:abstractNumId w:val="4"/>
  </w:num>
  <w:num w:numId="8">
    <w:abstractNumId w:val="3"/>
  </w:num>
  <w:num w:numId="9">
    <w:abstractNumId w:val="9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480"/>
  <w:drawingGridHorizontalSpacing w:val="120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2700"/>
    <w:rsid w:val="B4FE1CC7"/>
    <w:rsid w:val="D65F0366"/>
    <w:rsid w:val="DFAE3D4A"/>
    <w:rsid w:val="EF15C071"/>
    <w:rsid w:val="F4DF5194"/>
    <w:rsid w:val="F7FF56D3"/>
    <w:rsid w:val="FD77666E"/>
    <w:rsid w:val="FFCD9707"/>
    <w:rsid w:val="000365E5"/>
    <w:rsid w:val="00073E96"/>
    <w:rsid w:val="00074B7E"/>
    <w:rsid w:val="00081006"/>
    <w:rsid w:val="000C30BF"/>
    <w:rsid w:val="000C59F4"/>
    <w:rsid w:val="000F478D"/>
    <w:rsid w:val="001205E7"/>
    <w:rsid w:val="00153A7B"/>
    <w:rsid w:val="001563B9"/>
    <w:rsid w:val="00163934"/>
    <w:rsid w:val="00167CE0"/>
    <w:rsid w:val="0017432B"/>
    <w:rsid w:val="00182295"/>
    <w:rsid w:val="001A283F"/>
    <w:rsid w:val="001F3905"/>
    <w:rsid w:val="00260569"/>
    <w:rsid w:val="00271186"/>
    <w:rsid w:val="002A4456"/>
    <w:rsid w:val="002B09B3"/>
    <w:rsid w:val="002C1109"/>
    <w:rsid w:val="002D5422"/>
    <w:rsid w:val="002E2042"/>
    <w:rsid w:val="00304B2C"/>
    <w:rsid w:val="00313FCA"/>
    <w:rsid w:val="00333892"/>
    <w:rsid w:val="003636E1"/>
    <w:rsid w:val="00363DC9"/>
    <w:rsid w:val="00364278"/>
    <w:rsid w:val="003661ED"/>
    <w:rsid w:val="003800DF"/>
    <w:rsid w:val="0038542A"/>
    <w:rsid w:val="00394201"/>
    <w:rsid w:val="003B11B0"/>
    <w:rsid w:val="003C7B40"/>
    <w:rsid w:val="003D2577"/>
    <w:rsid w:val="00422CDB"/>
    <w:rsid w:val="00475AB2"/>
    <w:rsid w:val="00475E3C"/>
    <w:rsid w:val="00476D76"/>
    <w:rsid w:val="004A6E0C"/>
    <w:rsid w:val="004A7FEC"/>
    <w:rsid w:val="004C22C6"/>
    <w:rsid w:val="004C64DF"/>
    <w:rsid w:val="004D29B3"/>
    <w:rsid w:val="004D6737"/>
    <w:rsid w:val="004E573D"/>
    <w:rsid w:val="004F2838"/>
    <w:rsid w:val="005001D7"/>
    <w:rsid w:val="00500CF0"/>
    <w:rsid w:val="00507881"/>
    <w:rsid w:val="0052232F"/>
    <w:rsid w:val="0053358B"/>
    <w:rsid w:val="00541B4D"/>
    <w:rsid w:val="0055692C"/>
    <w:rsid w:val="005762C6"/>
    <w:rsid w:val="005C7273"/>
    <w:rsid w:val="006101EA"/>
    <w:rsid w:val="0066221C"/>
    <w:rsid w:val="00662DD1"/>
    <w:rsid w:val="00665E6A"/>
    <w:rsid w:val="00673609"/>
    <w:rsid w:val="006B2B3B"/>
    <w:rsid w:val="006C46EA"/>
    <w:rsid w:val="006D3885"/>
    <w:rsid w:val="00767264"/>
    <w:rsid w:val="00773929"/>
    <w:rsid w:val="00777485"/>
    <w:rsid w:val="00782529"/>
    <w:rsid w:val="00790718"/>
    <w:rsid w:val="007A0A74"/>
    <w:rsid w:val="007C3076"/>
    <w:rsid w:val="007D677D"/>
    <w:rsid w:val="00806979"/>
    <w:rsid w:val="008469C0"/>
    <w:rsid w:val="008A7647"/>
    <w:rsid w:val="008C7A6F"/>
    <w:rsid w:val="008D6965"/>
    <w:rsid w:val="008E3E9E"/>
    <w:rsid w:val="008E6C23"/>
    <w:rsid w:val="00905F44"/>
    <w:rsid w:val="00917E57"/>
    <w:rsid w:val="009238D6"/>
    <w:rsid w:val="00927674"/>
    <w:rsid w:val="00947F34"/>
    <w:rsid w:val="00951DE5"/>
    <w:rsid w:val="009A3A9A"/>
    <w:rsid w:val="009A422F"/>
    <w:rsid w:val="009D37EF"/>
    <w:rsid w:val="009E59C3"/>
    <w:rsid w:val="009E68FE"/>
    <w:rsid w:val="00A324D9"/>
    <w:rsid w:val="00A57E2E"/>
    <w:rsid w:val="00A9052A"/>
    <w:rsid w:val="00A91F4E"/>
    <w:rsid w:val="00AA090B"/>
    <w:rsid w:val="00AE0DA7"/>
    <w:rsid w:val="00B14554"/>
    <w:rsid w:val="00B14FFF"/>
    <w:rsid w:val="00B151C1"/>
    <w:rsid w:val="00B46A8E"/>
    <w:rsid w:val="00B6333A"/>
    <w:rsid w:val="00BA3003"/>
    <w:rsid w:val="00BE5500"/>
    <w:rsid w:val="00BE571C"/>
    <w:rsid w:val="00BE57C4"/>
    <w:rsid w:val="00BF0E56"/>
    <w:rsid w:val="00C35B70"/>
    <w:rsid w:val="00C574FC"/>
    <w:rsid w:val="00C63203"/>
    <w:rsid w:val="00C756FB"/>
    <w:rsid w:val="00CA720C"/>
    <w:rsid w:val="00CD0B58"/>
    <w:rsid w:val="00CE1479"/>
    <w:rsid w:val="00D04863"/>
    <w:rsid w:val="00D06E42"/>
    <w:rsid w:val="00D45101"/>
    <w:rsid w:val="00D47336"/>
    <w:rsid w:val="00D560D3"/>
    <w:rsid w:val="00D639E5"/>
    <w:rsid w:val="00D73F96"/>
    <w:rsid w:val="00D764F3"/>
    <w:rsid w:val="00D95100"/>
    <w:rsid w:val="00DD5BC6"/>
    <w:rsid w:val="00E21B7C"/>
    <w:rsid w:val="00E44DFB"/>
    <w:rsid w:val="00E62700"/>
    <w:rsid w:val="00E65610"/>
    <w:rsid w:val="00EB2E6C"/>
    <w:rsid w:val="00EE50A5"/>
    <w:rsid w:val="00F54222"/>
    <w:rsid w:val="00F83FFE"/>
    <w:rsid w:val="00FB0B49"/>
    <w:rsid w:val="00FC7F63"/>
    <w:rsid w:val="00FD1457"/>
    <w:rsid w:val="00FD3DFE"/>
    <w:rsid w:val="33F56AAA"/>
    <w:rsid w:val="57FC06AD"/>
    <w:rsid w:val="5FEB9984"/>
    <w:rsid w:val="7BD55BA6"/>
    <w:rsid w:val="7BE7181E"/>
    <w:rsid w:val="7FFA0B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5ECD062"/>
  <w15:docId w15:val="{F2E78B9B-3439-4AD8-BB2A-BFF4B54F99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</w:pPr>
    <w:rPr>
      <w:rFonts w:asciiTheme="minorHAnsi" w:eastAsiaTheme="minorEastAsia" w:hAnsiTheme="minorHAnsi" w:cstheme="minorBidi"/>
      <w:kern w:val="2"/>
      <w:sz w:val="24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qFormat/>
    <w:pPr>
      <w:widowControl/>
      <w:spacing w:before="180" w:after="180"/>
    </w:pPr>
    <w:rPr>
      <w:kern w:val="0"/>
      <w:szCs w:val="24"/>
      <w:lang w:eastAsia="en-US"/>
    </w:rPr>
  </w:style>
  <w:style w:type="paragraph" w:styleId="a5">
    <w:name w:val="Balloon Text"/>
    <w:basedOn w:val="a"/>
    <w:link w:val="a6"/>
    <w:uiPriority w:val="99"/>
    <w:semiHidden/>
    <w:unhideWhenUsed/>
    <w:qFormat/>
    <w:rPr>
      <w:rFonts w:asciiTheme="majorHAnsi" w:eastAsiaTheme="majorEastAsia" w:hAnsiTheme="majorHAnsi" w:cstheme="majorBidi"/>
      <w:sz w:val="18"/>
      <w:szCs w:val="18"/>
    </w:rPr>
  </w:style>
  <w:style w:type="paragraph" w:styleId="a7">
    <w:name w:val="footer"/>
    <w:basedOn w:val="a"/>
    <w:link w:val="a8"/>
    <w:uiPriority w:val="99"/>
    <w:unhideWhenUsed/>
    <w:qFormat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9">
    <w:name w:val="header"/>
    <w:basedOn w:val="a"/>
    <w:link w:val="aa"/>
    <w:uiPriority w:val="99"/>
    <w:unhideWhenUsed/>
    <w:qFormat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b">
    <w:name w:val="footnote text"/>
    <w:basedOn w:val="a"/>
    <w:link w:val="ac"/>
    <w:uiPriority w:val="99"/>
    <w:semiHidden/>
    <w:unhideWhenUsed/>
    <w:qFormat/>
    <w:pPr>
      <w:snapToGrid w:val="0"/>
    </w:pPr>
    <w:rPr>
      <w:sz w:val="20"/>
      <w:szCs w:val="20"/>
    </w:rPr>
  </w:style>
  <w:style w:type="table" w:styleId="ad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footnote reference"/>
    <w:basedOn w:val="a0"/>
    <w:uiPriority w:val="99"/>
    <w:semiHidden/>
    <w:unhideWhenUsed/>
    <w:qFormat/>
    <w:rPr>
      <w:vertAlign w:val="superscript"/>
    </w:rPr>
  </w:style>
  <w:style w:type="character" w:customStyle="1" w:styleId="aa">
    <w:name w:val="页眉 字符"/>
    <w:basedOn w:val="a0"/>
    <w:link w:val="a9"/>
    <w:uiPriority w:val="99"/>
    <w:qFormat/>
    <w:rPr>
      <w:sz w:val="20"/>
      <w:szCs w:val="20"/>
    </w:rPr>
  </w:style>
  <w:style w:type="character" w:customStyle="1" w:styleId="a8">
    <w:name w:val="页脚 字符"/>
    <w:basedOn w:val="a0"/>
    <w:link w:val="a7"/>
    <w:uiPriority w:val="99"/>
    <w:qFormat/>
    <w:rPr>
      <w:sz w:val="20"/>
      <w:szCs w:val="20"/>
    </w:rPr>
  </w:style>
  <w:style w:type="paragraph" w:styleId="af">
    <w:name w:val="List Paragraph"/>
    <w:basedOn w:val="a"/>
    <w:uiPriority w:val="34"/>
    <w:qFormat/>
    <w:pPr>
      <w:ind w:leftChars="200" w:left="480"/>
    </w:pPr>
  </w:style>
  <w:style w:type="character" w:customStyle="1" w:styleId="a6">
    <w:name w:val="批注框文本 字符"/>
    <w:basedOn w:val="a0"/>
    <w:link w:val="a5"/>
    <w:uiPriority w:val="99"/>
    <w:semiHidden/>
    <w:qFormat/>
    <w:rPr>
      <w:rFonts w:asciiTheme="majorHAnsi" w:eastAsiaTheme="majorEastAsia" w:hAnsiTheme="majorHAnsi" w:cstheme="majorBidi"/>
      <w:sz w:val="18"/>
      <w:szCs w:val="18"/>
    </w:rPr>
  </w:style>
  <w:style w:type="paragraph" w:customStyle="1" w:styleId="1">
    <w:name w:val="修订1"/>
    <w:hidden/>
    <w:uiPriority w:val="99"/>
    <w:semiHidden/>
    <w:qFormat/>
    <w:rPr>
      <w:rFonts w:asciiTheme="minorHAnsi" w:eastAsiaTheme="minorEastAsia" w:hAnsiTheme="minorHAnsi" w:cstheme="minorBidi"/>
      <w:kern w:val="2"/>
      <w:sz w:val="24"/>
      <w:szCs w:val="22"/>
    </w:rPr>
  </w:style>
  <w:style w:type="character" w:customStyle="1" w:styleId="ac">
    <w:name w:val="脚注文本 字符"/>
    <w:basedOn w:val="a0"/>
    <w:link w:val="ab"/>
    <w:uiPriority w:val="99"/>
    <w:semiHidden/>
    <w:qFormat/>
    <w:rPr>
      <w:sz w:val="20"/>
      <w:szCs w:val="20"/>
    </w:rPr>
  </w:style>
  <w:style w:type="character" w:customStyle="1" w:styleId="a4">
    <w:name w:val="正文文本 字符"/>
    <w:basedOn w:val="a0"/>
    <w:link w:val="a3"/>
    <w:qFormat/>
    <w:rPr>
      <w:kern w:val="0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Version="6" StyleName="APA" SelectedStyle="\APASixthEditionOfficeOnline.xsl"/>
</file>

<file path=customXml/itemProps1.xml><?xml version="1.0" encoding="utf-8"?>
<ds:datastoreItem xmlns:ds="http://schemas.openxmlformats.org/officeDocument/2006/customXml" ds:itemID="{849D239A-E944-4AC6-B251-CF911CC93E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347</Words>
  <Characters>1980</Characters>
  <Application>Microsoft Office Word</Application>
  <DocSecurity>0</DocSecurity>
  <Lines>16</Lines>
  <Paragraphs>4</Paragraphs>
  <ScaleCrop>false</ScaleCrop>
  <Company/>
  <LinksUpToDate>false</LinksUpToDate>
  <CharactersWithSpaces>2323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Christy WONG Suet Mui</dc:creator>
  <cp:lastModifiedBy>Christy WONG Suet Mui</cp:lastModifiedBy>
  <cp:revision>2</cp:revision>
  <cp:lastPrinted>2026-03-28T18:07:00Z</cp:lastPrinted>
  <dcterms:created xsi:type="dcterms:W3CDTF">2026-04-01T11:03:00Z</dcterms:created>
  <dcterms:modified xsi:type="dcterms:W3CDTF">2026-03-31T07:30:00Z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2052-0.0.0.0</vt:lpwstr>
  </property>
  <property fmtid="{D5CDD505-2E9C-101B-9397-08002B2CF9AE}" pid="3" name="ICV">
    <vt:lpwstr>1FD0ADA8E92B34B33273CB696CE03839_43</vt:lpwstr>
  </property>
</Properties>
</file>