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各家运营商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2</w:t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  <w:t>025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年关键业绩摘要</w:t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</w:t>
      </w:r>
      <w:proofErr w:type="gramStart"/>
      <w:r>
        <w:rPr>
          <w:rFonts w:ascii="FangSong" w:eastAsia="FangSong" w:hAnsi="FangSong" w:hint="eastAsia"/>
          <w:sz w:val="28"/>
          <w:lang w:eastAsia="zh-CN"/>
        </w:rPr>
        <w:t>标分析</w:t>
      </w:r>
      <w:proofErr w:type="gramEnd"/>
      <w:r>
        <w:rPr>
          <w:rFonts w:ascii="FangSong" w:eastAsia="FangSong" w:hAnsi="FangSong" w:hint="eastAsia"/>
          <w:sz w:val="28"/>
          <w:lang w:eastAsia="zh-CN"/>
        </w:rPr>
        <w:t>简报</w:t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日，中国移动、中国电信、中国联通及中国铁塔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财年业绩均已发布。现结合公开披露数据、业绩公告及券商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研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报，将各家运营商</w:t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年关键业绩数据</w:t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与资本市场反应摘要如下，供内部决策参考。</w:t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表：各家运营商</w:t>
      </w:r>
      <w:r>
        <w:rPr>
          <w:rFonts w:ascii="FangSong" w:eastAsia="FangSong" w:hAnsi="FangSong"/>
          <w:b/>
          <w:sz w:val="32"/>
          <w:lang w:eastAsia="zh-CN"/>
        </w:rPr>
        <w:t>2025</w:t>
      </w:r>
      <w:r>
        <w:rPr>
          <w:rFonts w:ascii="FangSong" w:eastAsia="FangSong" w:hAnsi="FangSong" w:hint="eastAsia"/>
          <w:b/>
          <w:sz w:val="32"/>
          <w:lang w:eastAsia="zh-CN"/>
        </w:rPr>
        <w:t>年关键业绩数据汇总</w:t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 w14:paraId="3911FFC1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</w:p>
        </w:tc>
        <w:tc>
          <w:tcPr>
            <w:tcW w:w="1382" w:type="dxa"/>
          </w:tcPr>
          <w:p w14:paraId="028D5D91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中国移动</w:t>
            </w:r>
          </w:p>
        </w:tc>
        <w:tc>
          <w:tcPr>
            <w:tcW w:w="1382" w:type="dxa"/>
          </w:tcPr>
          <w:p w14:paraId="044B3DF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中国电信</w:t>
            </w:r>
          </w:p>
        </w:tc>
        <w:tc>
          <w:tcPr>
            <w:tcW w:w="1383" w:type="dxa"/>
          </w:tcPr>
          <w:p w14:paraId="5595391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中国联通</w:t>
            </w:r>
          </w:p>
        </w:tc>
        <w:tc>
          <w:tcPr>
            <w:tcW w:w="1970" w:type="dxa"/>
          </w:tcPr>
          <w:p w14:paraId="6F06911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 w14:paraId="2773661A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营业收入（亿元）</w:t>
            </w:r>
          </w:p>
        </w:tc>
        <w:tc>
          <w:tcPr>
            <w:tcW w:w="1382" w:type="dxa"/>
          </w:tcPr>
          <w:p w14:paraId="60AE986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10502 </w:t>
            </w:r>
          </w:p>
          <w:p w14:paraId="1120B05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0.9%</w:t>
            </w:r>
          </w:p>
        </w:tc>
        <w:tc>
          <w:tcPr>
            <w:tcW w:w="1382" w:type="dxa"/>
          </w:tcPr>
          <w:p w14:paraId="55821A3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5296</w:t>
            </w:r>
          </w:p>
          <w:p w14:paraId="2E1AAD1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0.03%</w:t>
            </w:r>
          </w:p>
        </w:tc>
        <w:tc>
          <w:tcPr>
            <w:tcW w:w="1383" w:type="dxa"/>
          </w:tcPr>
          <w:p w14:paraId="4C475F7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922</w:t>
            </w:r>
          </w:p>
          <w:p w14:paraId="506FF66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0.7%</w:t>
            </w:r>
          </w:p>
        </w:tc>
        <w:tc>
          <w:tcPr>
            <w:tcW w:w="1970" w:type="dxa"/>
          </w:tcPr>
          <w:p w14:paraId="05CC9EEC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004</w:t>
            </w:r>
          </w:p>
          <w:p w14:paraId="0F2F285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 w14:paraId="6CB0B0DB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主营业务收入（亿元）</w:t>
            </w:r>
          </w:p>
        </w:tc>
        <w:tc>
          <w:tcPr>
            <w:tcW w:w="1382" w:type="dxa"/>
          </w:tcPr>
          <w:p w14:paraId="020C923F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8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955</w:t>
            </w:r>
          </w:p>
          <w:p w14:paraId="517DB04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0.7%</w:t>
            </w:r>
          </w:p>
        </w:tc>
        <w:tc>
          <w:tcPr>
            <w:tcW w:w="1382" w:type="dxa"/>
          </w:tcPr>
          <w:p w14:paraId="0A66372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4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854</w:t>
            </w:r>
          </w:p>
          <w:p w14:paraId="5DE165CB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0.7%</w:t>
            </w:r>
          </w:p>
        </w:tc>
        <w:tc>
          <w:tcPr>
            <w:tcW w:w="1383" w:type="dxa"/>
          </w:tcPr>
          <w:p w14:paraId="26CF321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477</w:t>
            </w:r>
          </w:p>
          <w:p w14:paraId="2B0B053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0.5%</w:t>
            </w:r>
          </w:p>
        </w:tc>
        <w:tc>
          <w:tcPr>
            <w:tcW w:w="1970" w:type="dxa"/>
          </w:tcPr>
          <w:p w14:paraId="60D330F2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运营</w:t>
            </w:r>
            <w:proofErr w:type="gramStart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商业务</w:t>
            </w:r>
            <w:proofErr w:type="gramEnd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收入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 847.25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亿元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 w14:paraId="75CF89DC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E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BITDA(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亿元)</w:t>
            </w:r>
          </w:p>
        </w:tc>
        <w:tc>
          <w:tcPr>
            <w:tcW w:w="1382" w:type="dxa"/>
          </w:tcPr>
          <w:p w14:paraId="5516820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389</w:t>
            </w:r>
          </w:p>
          <w:p w14:paraId="35E8BBC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+1.6%</w:t>
            </w:r>
          </w:p>
        </w:tc>
        <w:tc>
          <w:tcPr>
            <w:tcW w:w="1382" w:type="dxa"/>
          </w:tcPr>
          <w:p w14:paraId="7646534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439</w:t>
            </w:r>
          </w:p>
          <w:p w14:paraId="3C7888B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2.1%</w:t>
            </w:r>
          </w:p>
        </w:tc>
        <w:tc>
          <w:tcPr>
            <w:tcW w:w="1383" w:type="dxa"/>
          </w:tcPr>
          <w:p w14:paraId="75C6B991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9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94</w:t>
            </w:r>
          </w:p>
          <w:p w14:paraId="772118D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0%</w:t>
            </w:r>
          </w:p>
        </w:tc>
        <w:tc>
          <w:tcPr>
            <w:tcW w:w="1970" w:type="dxa"/>
          </w:tcPr>
          <w:p w14:paraId="2C4D64D8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658.14 </w:t>
            </w:r>
          </w:p>
          <w:p w14:paraId="4DE2B41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 w14:paraId="076BC176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proofErr w:type="gramStart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归母净利润</w:t>
            </w:r>
            <w:proofErr w:type="gramEnd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（亿元）</w:t>
            </w:r>
          </w:p>
        </w:tc>
        <w:tc>
          <w:tcPr>
            <w:tcW w:w="1382" w:type="dxa"/>
          </w:tcPr>
          <w:p w14:paraId="12CBC7B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1371</w:t>
            </w:r>
          </w:p>
          <w:p w14:paraId="4BE98E8E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-0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.9%</w:t>
            </w:r>
          </w:p>
        </w:tc>
        <w:tc>
          <w:tcPr>
            <w:tcW w:w="1382" w:type="dxa"/>
          </w:tcPr>
          <w:p w14:paraId="3EFDC3E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332</w:t>
            </w:r>
          </w:p>
          <w:p w14:paraId="5A0EAA6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0.5%</w:t>
            </w:r>
          </w:p>
        </w:tc>
        <w:tc>
          <w:tcPr>
            <w:tcW w:w="1383" w:type="dxa"/>
          </w:tcPr>
          <w:p w14:paraId="5CC6E13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91</w:t>
            </w:r>
          </w:p>
          <w:p w14:paraId="7FAB78C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1.1%</w:t>
            </w:r>
          </w:p>
        </w:tc>
        <w:tc>
          <w:tcPr>
            <w:tcW w:w="1970" w:type="dxa"/>
          </w:tcPr>
          <w:p w14:paraId="32EA42F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16</w:t>
            </w:r>
          </w:p>
          <w:p w14:paraId="3F0E51D2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8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 w14:paraId="24BC7586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净利率</w:t>
            </w:r>
          </w:p>
        </w:tc>
        <w:tc>
          <w:tcPr>
            <w:tcW w:w="1382" w:type="dxa"/>
          </w:tcPr>
          <w:p w14:paraId="6CF5676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13.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%</w:t>
            </w:r>
          </w:p>
        </w:tc>
        <w:tc>
          <w:tcPr>
            <w:tcW w:w="1382" w:type="dxa"/>
          </w:tcPr>
          <w:p w14:paraId="1D8DA0F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6.3%</w:t>
            </w:r>
          </w:p>
        </w:tc>
        <w:tc>
          <w:tcPr>
            <w:tcW w:w="1383" w:type="dxa"/>
          </w:tcPr>
          <w:p w14:paraId="5D64A142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2.3%</w:t>
            </w:r>
          </w:p>
        </w:tc>
        <w:tc>
          <w:tcPr>
            <w:tcW w:w="1970" w:type="dxa"/>
          </w:tcPr>
          <w:p w14:paraId="109BCF9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 w14:paraId="03493B0A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资本开支（亿元）</w:t>
            </w:r>
          </w:p>
        </w:tc>
        <w:tc>
          <w:tcPr>
            <w:tcW w:w="1382" w:type="dxa"/>
          </w:tcPr>
          <w:p w14:paraId="392C3434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1509</w:t>
            </w:r>
          </w:p>
          <w:p w14:paraId="359A752F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8.0%</w:t>
            </w:r>
          </w:p>
        </w:tc>
        <w:tc>
          <w:tcPr>
            <w:tcW w:w="1382" w:type="dxa"/>
          </w:tcPr>
          <w:p w14:paraId="51A0DC0E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804</w:t>
            </w:r>
          </w:p>
          <w:p w14:paraId="018E4E8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14.0%</w:t>
            </w:r>
          </w:p>
        </w:tc>
        <w:tc>
          <w:tcPr>
            <w:tcW w:w="1383" w:type="dxa"/>
          </w:tcPr>
          <w:p w14:paraId="28DAD26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542</w:t>
            </w:r>
          </w:p>
          <w:p w14:paraId="4B67BC0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11.7%</w:t>
            </w:r>
          </w:p>
        </w:tc>
        <w:tc>
          <w:tcPr>
            <w:tcW w:w="1970" w:type="dxa"/>
          </w:tcPr>
          <w:p w14:paraId="5CD3FF1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295</w:t>
            </w:r>
          </w:p>
          <w:p w14:paraId="65A545B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 w14:paraId="56DDAA67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资本开支2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026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年计划（亿元）</w:t>
            </w:r>
          </w:p>
        </w:tc>
        <w:tc>
          <w:tcPr>
            <w:tcW w:w="1382" w:type="dxa"/>
          </w:tcPr>
          <w:p w14:paraId="10DF2868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366</w:t>
            </w:r>
          </w:p>
        </w:tc>
        <w:tc>
          <w:tcPr>
            <w:tcW w:w="1382" w:type="dxa"/>
          </w:tcPr>
          <w:p w14:paraId="5C1DE25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7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30</w:t>
            </w:r>
          </w:p>
        </w:tc>
        <w:tc>
          <w:tcPr>
            <w:tcW w:w="1383" w:type="dxa"/>
          </w:tcPr>
          <w:p w14:paraId="0181052B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5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00</w:t>
            </w:r>
          </w:p>
        </w:tc>
        <w:tc>
          <w:tcPr>
            <w:tcW w:w="1970" w:type="dxa"/>
          </w:tcPr>
          <w:p w14:paraId="4DAFE2C4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 w14:paraId="4087F9D3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移动用户数（亿户）</w:t>
            </w:r>
          </w:p>
        </w:tc>
        <w:tc>
          <w:tcPr>
            <w:tcW w:w="1382" w:type="dxa"/>
          </w:tcPr>
          <w:p w14:paraId="3B87E51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0.05 </w:t>
            </w:r>
          </w:p>
        </w:tc>
        <w:tc>
          <w:tcPr>
            <w:tcW w:w="1382" w:type="dxa"/>
          </w:tcPr>
          <w:p w14:paraId="676CDAE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4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.39 </w:t>
            </w:r>
          </w:p>
        </w:tc>
        <w:tc>
          <w:tcPr>
            <w:tcW w:w="1383" w:type="dxa"/>
          </w:tcPr>
          <w:p w14:paraId="5617B70C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highlight w:val="yellow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.57 </w:t>
            </w:r>
          </w:p>
        </w:tc>
        <w:tc>
          <w:tcPr>
            <w:tcW w:w="1970" w:type="dxa"/>
          </w:tcPr>
          <w:p w14:paraId="66D6385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 xml:space="preserve">不涉及 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 w14:paraId="09821523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5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G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网络用户数（亿户）</w:t>
            </w:r>
          </w:p>
        </w:tc>
        <w:tc>
          <w:tcPr>
            <w:tcW w:w="1382" w:type="dxa"/>
          </w:tcPr>
          <w:p w14:paraId="5E718840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.42 </w:t>
            </w:r>
          </w:p>
        </w:tc>
        <w:tc>
          <w:tcPr>
            <w:tcW w:w="1382" w:type="dxa"/>
          </w:tcPr>
          <w:p w14:paraId="4484E35B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.02</w:t>
            </w:r>
          </w:p>
        </w:tc>
        <w:tc>
          <w:tcPr>
            <w:tcW w:w="1383" w:type="dxa"/>
          </w:tcPr>
          <w:p w14:paraId="3912E74F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2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.32 </w:t>
            </w:r>
          </w:p>
        </w:tc>
        <w:tc>
          <w:tcPr>
            <w:tcW w:w="1970" w:type="dxa"/>
          </w:tcPr>
          <w:p w14:paraId="2540A5F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 w14:paraId="66950D07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5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G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网络渗透率</w:t>
            </w:r>
          </w:p>
        </w:tc>
        <w:tc>
          <w:tcPr>
            <w:tcW w:w="1382" w:type="dxa"/>
          </w:tcPr>
          <w:p w14:paraId="7F21A17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3.9%</w:t>
            </w:r>
          </w:p>
        </w:tc>
        <w:tc>
          <w:tcPr>
            <w:tcW w:w="1382" w:type="dxa"/>
          </w:tcPr>
          <w:p w14:paraId="483CC0A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8.8%</w:t>
            </w:r>
          </w:p>
        </w:tc>
        <w:tc>
          <w:tcPr>
            <w:tcW w:w="1383" w:type="dxa"/>
          </w:tcPr>
          <w:p w14:paraId="5DB79FE8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5.0%</w:t>
            </w:r>
          </w:p>
        </w:tc>
        <w:tc>
          <w:tcPr>
            <w:tcW w:w="1970" w:type="dxa"/>
          </w:tcPr>
          <w:p w14:paraId="687E6DEE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lastRenderedPageBreak/>
        <w:t>中国移动（业绩说明会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2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6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派息稳增：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全年派息每股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5.27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+3.5%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），派息率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，并指引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年派息率稳中有升，持续增强股东回报。</w:t>
      </w:r>
    </w:p>
    <w:p w14:paraId="6B5A2805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资本开支转向算力：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年资本开支预计再降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9.5%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1,366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亿元，其中通信相关投资减少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算力投资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增长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62%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AI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投资增长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，结构加速向“新质生产力”倾斜。公司将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把算力服务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作为高质量发展的重要增长极，目标是到“十五五”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期末实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现收入翻番。与此同时，该公司将加快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AIDC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、算力、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Token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能力提升。</w:t>
      </w:r>
    </w:p>
    <w:p w14:paraId="253A37E2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券商观点：维持原有评级，目标价高于现价。</w:t>
      </w:r>
    </w:p>
    <w:p w14:paraId="7C7E878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722B5EAC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22E239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2B70168C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里昂发表报告指出，业绩虽偏弱但优于同业，公司提供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股息率为同业最高，维持“跑赢大市”评级及目标价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5FE59398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花旗指出，收入略低于预期但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EBITDA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基本符合，看好派息率稳步提升，维持“买入”，目标价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105.1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3E29713B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摩根士丹利：服务收入符合预期，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EBITDA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略低于预期，维持“与大市同步”，目标价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0A8EFEBD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业绩公布后股价微升（截止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: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00,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股价为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8.05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，上涨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0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.71%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），市场关注其严格的成本控制及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向算力</w:t>
      </w:r>
      <w:proofErr w:type="gramEnd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/AI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的转型成效。</w:t>
      </w: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中国电信（业绩说明会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2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4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全年派息率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，每股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0.2720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+4.7%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）。</w:t>
      </w:r>
    </w:p>
    <w:p w14:paraId="2324F82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年资本开支降至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730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-9.2%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），但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算力基础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设施投资同比增长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26%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，达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255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亿元，占总开支比重升至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722BF90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全面拥抱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AI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，战略从“云改数转”升级为“云改数转智惠”，以打造领先的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AI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服务商为目标，以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Token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服务为经营主线。</w:t>
      </w:r>
    </w:p>
    <w:p w14:paraId="65169C14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券商观点：基本维持原有评级。</w:t>
      </w:r>
    </w:p>
    <w:p w14:paraId="33994FCA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BE59FF0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中银国际：盈利略低于预期，但看好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Token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、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智算中心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及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云安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全驱动增长，重申“买入”，目标价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7.85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2797B837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摩根士丹利：去年第四季度业绩逊预期，但管理层对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年收入、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EBITDA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及利润增长给出正面指引，维持“与大市同步”，目标价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5.5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59361E0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业绩说明会当日收盘价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4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.89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日收盘价为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4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.86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港元，股价整体维持稳定。</w:t>
      </w: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中国联通（业绩说明会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1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9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派发末期股息每股人民币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0.0523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元，连同已派发的中期股息每股人民币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0.1112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元，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年股息合计每股人民币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0.1635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元，同比提升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3.5%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5A053A13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年，中国联通抢抓新一轮科技和产业创新机遇，落实“人工智能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+”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行动，战略性新兴产业收入占比超过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86%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算力业务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收入占比超过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、较上年提升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1.1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个百分点，人工智能业务收入同比增长超过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140%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年资本开支预计在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500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亿元左右，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其中算力投资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占比超过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7449125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中国联通董事长董昕在业绩发布会上表示，“中国联通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余年的发展，从弱到强，从小到大，始终有明确、清晰的战略，并且聚焦战略确立非常明确的工作措施和赛道，在此基础上坚决地落实才有了今天的成绩。联通的目标就是，健康地、鲜活地活着。</w:t>
      </w:r>
    </w:p>
    <w:p w14:paraId="585E8070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券商观点：业绩逊于预期，市场信心削弱。</w:t>
      </w:r>
    </w:p>
    <w:p w14:paraId="1D918E5E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F976EF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9642B9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AD5471D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3C722CDE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晨星：将公允价值预测从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10.6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港元下调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9.6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港元，并维持“无护城河”评级，直指其资本回报率持续低于资本成本，核心业务盈利能力羸弱。</w:t>
      </w:r>
    </w:p>
    <w:p w14:paraId="2056DDDF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瑞银：予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 xml:space="preserve"> 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“中性”评级，目标价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8.1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港元。公司上季业绩、收入同比、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E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BITDA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同比与派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息率均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逊于预期，并表示由于联通业绩未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lastRenderedPageBreak/>
        <w:t>达预期，料市场将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作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出负面反应。市场忧虑增值税（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VAT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）继续令公司净利润受压，而派息比率逊于预期，更进一步削弱市场对其股息前景的信心。</w:t>
      </w:r>
    </w:p>
    <w:p w14:paraId="0D56653B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业绩公布后股价持续下降，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日收盘价为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.03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港元，相较于业绩说明会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日当日收盘价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.54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港元下滑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6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.8%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中国铁塔（业绩说明会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1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8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派发末期股息为每股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0.32539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元（税前），连同已派发的中期股息，全年股息合计为每股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0.45789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元（税前），全年可分配利润派息比率为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77%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财报显示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，中国铁塔深化“一体两翼”战略，即以面向通信行业的运营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商业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务为“一体”，以面向社会的智联业务和能源业务为“两翼。营业收入保持稳定增长，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年公司实现营业收入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004.11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亿元，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首次突破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  <w:t>000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亿元大关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，盈利能力持续增强，财务状况保持稳健。</w:t>
      </w:r>
    </w:p>
    <w:p w14:paraId="5A630C49" w14:textId="29031ACB" w:rsidR="00394201" w:rsidRDefault="00394201" w:rsidP="00BA3003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pPr>
      <w:bookmarkStart w:id="3" w:name="_GoBack"/>
      <w:bookmarkEnd w:id="3"/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