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620D" w14:textId="7E8159FF" w:rsidR="008C2F89" w:rsidRPr="008C2F89" w:rsidRDefault="008C2F89" w:rsidP="00EA17D1">
      <w:pPr>
        <w:rPr>
          <w:u w:val="single"/>
        </w:rPr>
      </w:pPr>
      <w:r w:rsidRPr="008C2F89">
        <w:rPr>
          <w:u w:val="single"/>
        </w:rPr>
        <w:t>Title</w:t>
      </w:r>
    </w:p>
    <w:p w14:paraId="035A2CF5" w14:textId="56D365C0" w:rsidR="00EA17D1" w:rsidRDefault="00EA17D1" w:rsidP="00EA17D1">
      <w:r>
        <w:t xml:space="preserve">N-Methyl-D-Aspartate Receptors drive striatal calcium signaling </w:t>
      </w:r>
      <w:r>
        <w:rPr>
          <w:i/>
          <w:iCs/>
        </w:rPr>
        <w:t xml:space="preserve">in </w:t>
      </w:r>
      <w:r w:rsidRPr="00727FFD">
        <w:t>vivo</w:t>
      </w:r>
      <w:r>
        <w:t xml:space="preserve"> </w:t>
      </w:r>
      <w:r w:rsidRPr="00727FFD">
        <w:t>and</w:t>
      </w:r>
      <w:r>
        <w:t xml:space="preserve"> modulate continuous learning. </w:t>
      </w:r>
    </w:p>
    <w:p w14:paraId="46FABEF5" w14:textId="189CEA40" w:rsidR="008C2F89" w:rsidRDefault="008C2F89" w:rsidP="00EA17D1">
      <w:pPr>
        <w:rPr>
          <w:u w:val="single"/>
        </w:rPr>
      </w:pPr>
      <w:r w:rsidRPr="008C2F89">
        <w:rPr>
          <w:u w:val="single"/>
        </w:rPr>
        <w:t>Authors</w:t>
      </w:r>
    </w:p>
    <w:p w14:paraId="4D88C606" w14:textId="2867FF73" w:rsidR="008C2F89" w:rsidRPr="008C2F89" w:rsidRDefault="008C2F89" w:rsidP="00EA17D1">
      <w:r>
        <w:t xml:space="preserve">Alex A. Legaria, Mason Barrett, Jordyn </w:t>
      </w:r>
      <w:proofErr w:type="spellStart"/>
      <w:r>
        <w:t>Czarny</w:t>
      </w:r>
      <w:proofErr w:type="spellEnd"/>
      <w:r>
        <w:t xml:space="preserve">, </w:t>
      </w:r>
      <w:proofErr w:type="spellStart"/>
      <w:r>
        <w:t>Alexxai</w:t>
      </w:r>
      <w:proofErr w:type="spellEnd"/>
      <w:r>
        <w:t xml:space="preserve"> V</w:t>
      </w:r>
      <w:r w:rsidR="001C3E31">
        <w:t>.</w:t>
      </w:r>
      <w:r>
        <w:t xml:space="preserve"> Kravitz.</w:t>
      </w:r>
    </w:p>
    <w:p w14:paraId="3CF64849" w14:textId="2B0C8E4C" w:rsidR="00EA17D1" w:rsidRPr="00EA17D1" w:rsidRDefault="00EA17D1" w:rsidP="00EA17D1">
      <w:pPr>
        <w:rPr>
          <w:u w:val="single"/>
        </w:rPr>
      </w:pPr>
      <w:r w:rsidRPr="00EA17D1">
        <w:rPr>
          <w:u w:val="single"/>
        </w:rPr>
        <w:t>Abstract</w:t>
      </w:r>
      <w:r w:rsidR="00B01ED8">
        <w:rPr>
          <w:u w:val="single"/>
        </w:rPr>
        <w:t>.</w:t>
      </w:r>
    </w:p>
    <w:p w14:paraId="42736965" w14:textId="5261D4B9" w:rsidR="00EA17D1" w:rsidRDefault="00EA17D1">
      <w:r>
        <w:t xml:space="preserve">Here, </w:t>
      </w:r>
      <w:r w:rsidR="00B01ED8">
        <w:t xml:space="preserve">we </w:t>
      </w:r>
      <w:r>
        <w:t>studied the subcellular source</w:t>
      </w:r>
      <w:r w:rsidR="00B01ED8">
        <w:t xml:space="preserve"> and function</w:t>
      </w:r>
      <w:r>
        <w:t xml:space="preserve"> of striatal calcium</w:t>
      </w:r>
      <w:r w:rsidR="00B01ED8">
        <w:t xml:space="preserve"> signaling </w:t>
      </w:r>
      <w:r w:rsidR="00B01ED8">
        <w:rPr>
          <w:i/>
          <w:iCs/>
        </w:rPr>
        <w:t xml:space="preserve">in vivo </w:t>
      </w:r>
      <w:r w:rsidR="00B01ED8">
        <w:t>using a combination of bulk calcium recordings, pharmacology and behavioral assessment</w:t>
      </w:r>
      <w:r>
        <w:t>.</w:t>
      </w:r>
      <w:r w:rsidR="00B01ED8">
        <w:t xml:space="preserve"> We report that s</w:t>
      </w:r>
      <w:r>
        <w:t>ystemic and local antagonism of</w:t>
      </w:r>
      <w:r w:rsidR="00B01ED8">
        <w:t xml:space="preserve"> striatal</w:t>
      </w:r>
      <w:r>
        <w:t xml:space="preserve"> NMDARs </w:t>
      </w:r>
      <w:r w:rsidR="00B01ED8">
        <w:t xml:space="preserve">strongly </w:t>
      </w:r>
      <w:r>
        <w:t xml:space="preserve">diminish spontaneous and behaviorally evoked </w:t>
      </w:r>
      <w:r w:rsidR="00B01ED8">
        <w:t>calcium, in addition to disrupting learning from rewarded actions on a moment-to-moment basis. These results provide novel insight into the role and mechanisms of striatal calcium signaling.</w:t>
      </w:r>
    </w:p>
    <w:p w14:paraId="12677F3E" w14:textId="70348CDB" w:rsidR="00B01ED8" w:rsidRDefault="00B01ED8" w:rsidP="00B01ED8">
      <w:pPr>
        <w:rPr>
          <w:u w:val="single"/>
        </w:rPr>
      </w:pPr>
      <w:r>
        <w:rPr>
          <w:u w:val="single"/>
        </w:rPr>
        <w:t>Main text.</w:t>
      </w:r>
    </w:p>
    <w:p w14:paraId="0E55EDC5" w14:textId="7FA7C938" w:rsidR="008C2F89" w:rsidRDefault="00B01ED8" w:rsidP="00B01ED8">
      <w:r>
        <w:t xml:space="preserve">In a previous study, we showed that </w:t>
      </w:r>
      <w:r w:rsidR="00A20752">
        <w:rPr>
          <w:i/>
          <w:iCs/>
        </w:rPr>
        <w:t xml:space="preserve">in </w:t>
      </w:r>
      <w:r w:rsidR="00A20752" w:rsidRPr="00A20752">
        <w:rPr>
          <w:i/>
          <w:iCs/>
        </w:rPr>
        <w:t>vivo</w:t>
      </w:r>
      <w:r w:rsidR="00A20752">
        <w:t xml:space="preserve"> </w:t>
      </w:r>
      <w:r w:rsidRPr="00A20752">
        <w:t>bulk</w:t>
      </w:r>
      <w:r>
        <w:t xml:space="preserve"> calcium recordings </w:t>
      </w:r>
      <w:r w:rsidRPr="00A20752">
        <w:t>in</w:t>
      </w:r>
      <w:r>
        <w:t xml:space="preserve"> the striatum primarily reflect non-somatic changes in calcium (REF). </w:t>
      </w:r>
      <w:r w:rsidR="00A20752">
        <w:t xml:space="preserve">However, the subcellular source of these changes and their function remained unknown. </w:t>
      </w:r>
      <w:r w:rsidR="008258AC">
        <w:t xml:space="preserve">A dive into the literature revealed that </w:t>
      </w:r>
      <w:r w:rsidR="008258AC">
        <w:rPr>
          <w:i/>
          <w:iCs/>
        </w:rPr>
        <w:t xml:space="preserve">ex vivo, </w:t>
      </w:r>
      <w:r w:rsidR="008258AC">
        <w:t>that N-Methyl-D-Aspartate receptors (NMDARs) are the primary source of dendritic calcium</w:t>
      </w:r>
      <w:r w:rsidR="008258AC">
        <w:t xml:space="preserve"> (REF). Therefore, to test whether NMDARs contribute to bulk calcium changes in the striatum </w:t>
      </w:r>
      <w:r w:rsidR="008258AC">
        <w:rPr>
          <w:i/>
          <w:iCs/>
        </w:rPr>
        <w:t>in vivo</w:t>
      </w:r>
      <w:r w:rsidR="008258AC">
        <w:t xml:space="preserve">, we performed bulk calcium recordings and that antagonized NMDARs using the non-competitive antagonist MK-801.  Specifically, we </w:t>
      </w:r>
      <w:r w:rsidR="008258AC">
        <w:t>expressed GCaMP8f in</w:t>
      </w:r>
      <w:r w:rsidR="008258AC">
        <w:t xml:space="preserve"> striatal neurons in the dorsomedial striatum (DMS). We targeted GCaMP8f expression to Drd1-expressing spiny projection neurons (D1-SPNs</w:t>
      </w:r>
      <w:r w:rsidR="008C2F89">
        <w:t>, N mice, X females, Y males</w:t>
      </w:r>
      <w:r w:rsidR="008258AC">
        <w:t>), Drd2-expressing SPNs (D2-SPNs</w:t>
      </w:r>
      <w:r w:rsidR="008C2F89">
        <w:t>, N mice, X females, Y males</w:t>
      </w:r>
      <w:r w:rsidR="008258AC">
        <w:t>) using a Cre-Lox viral strategy</w:t>
      </w:r>
      <w:r w:rsidR="008C2F89">
        <w:t>, or in all striatal neurons (N mice, X females, Y males).</w:t>
      </w:r>
    </w:p>
    <w:p w14:paraId="68713C33" w14:textId="005E3539" w:rsidR="00456129" w:rsidRDefault="00754744" w:rsidP="00B01ED8">
      <w:r>
        <w:t>To test the contribution of NMDARs to bulk calcium signaling in striatal neurons, we first recorded a 15-minute baseline period, and then we injected intra-peritoneally (</w:t>
      </w:r>
      <w:proofErr w:type="spellStart"/>
      <w:r>
        <w:t>i.p.</w:t>
      </w:r>
      <w:proofErr w:type="spellEnd"/>
      <w:r>
        <w:t xml:space="preserve">) MK-801 (0.3mg/Kg), or saline </w:t>
      </w:r>
      <w:r w:rsidR="008C2F89">
        <w:t xml:space="preserve">(only in </w:t>
      </w:r>
      <w:r>
        <w:t>mice</w:t>
      </w:r>
      <w:r w:rsidR="008C2F89">
        <w:t xml:space="preserve"> where GCaMP8f was expressed in all striatal neurons</w:t>
      </w:r>
      <w:r>
        <w:t>) as control.</w:t>
      </w:r>
      <w:r w:rsidR="008C2F89">
        <w:t xml:space="preserve"> </w:t>
      </w:r>
      <w:r w:rsidR="002943F5">
        <w:t>To test whether calcium signaling was disrupted by NMDAR antagonism, we</w:t>
      </w:r>
      <w:r w:rsidR="0021042E">
        <w:t xml:space="preserve"> first</w:t>
      </w:r>
      <w:r w:rsidR="002943F5">
        <w:t xml:space="preserve"> evaluated the rate of spontaneous</w:t>
      </w:r>
      <w:r w:rsidR="0021042E">
        <w:t xml:space="preserve"> calcium</w:t>
      </w:r>
      <w:r w:rsidR="002943F5">
        <w:t xml:space="preserve"> transients </w:t>
      </w:r>
      <w:r w:rsidR="0021042E">
        <w:t xml:space="preserve">after an MK-801 or saline injection </w:t>
      </w:r>
      <w:r w:rsidR="002943F5">
        <w:t xml:space="preserve">(see methods for detection strategy). </w:t>
      </w:r>
      <w:r w:rsidR="00300D0F">
        <w:t xml:space="preserve">Strikingly, </w:t>
      </w:r>
      <w:r>
        <w:t>mice injected with MK801</w:t>
      </w:r>
      <w:r w:rsidR="0021042E">
        <w:t>, but not saline-injected mice,</w:t>
      </w:r>
      <w:r>
        <w:t xml:space="preserve"> </w:t>
      </w:r>
      <w:r w:rsidR="00300D0F">
        <w:t>showed</w:t>
      </w:r>
      <w:r>
        <w:t xml:space="preserve"> a</w:t>
      </w:r>
      <w:r w:rsidR="008C2F89">
        <w:t xml:space="preserve"> </w:t>
      </w:r>
      <w:r>
        <w:t xml:space="preserve">strong decrease in spontaneous calcium transients after 10 minutes. After 30 minutes, mice injected with MK801 displayed a transient rate lower than 20% </w:t>
      </w:r>
      <w:r w:rsidR="0021042E">
        <w:t>compared to their baseline period</w:t>
      </w:r>
      <w:r>
        <w:t>, while a transient rate of over 60% was observed after a saline injection (Figure 1</w:t>
      </w:r>
      <w:proofErr w:type="gramStart"/>
      <w:r>
        <w:t>C,D</w:t>
      </w:r>
      <w:proofErr w:type="gramEnd"/>
      <w:r>
        <w:t>).</w:t>
      </w:r>
      <w:r w:rsidR="0021042E">
        <w:t xml:space="preserve"> No difference was observed in the effect of MK-801 in the D1-SPN, D2-SPN, and all-neurons groups, suggesting that this effect is not isolated to a specific neuronal population. </w:t>
      </w:r>
    </w:p>
    <w:p w14:paraId="2F0B742C" w14:textId="07734E4C" w:rsidR="00C87E71" w:rsidRDefault="008C2F89" w:rsidP="00B01ED8">
      <w:r>
        <w:t xml:space="preserve">Next, to test whether this diminishment in calcium transients was restricted to spontaneous calcium changes, we trained mice on an operant food self-administration task (REF), where mice had to poke on a nose-port to receive a food pellet. </w:t>
      </w:r>
      <w:r w:rsidR="000A0142">
        <w:t xml:space="preserve">We again expressed GCaMP8f in DMS D1-SPNs (N mice, X females, Y males), D2-SPNs (N mice, X females, Y males), or all striatal neurons (N mice, X females, Y males). </w:t>
      </w:r>
      <w:r w:rsidR="00C87E71">
        <w:t xml:space="preserve">We injected saline or MK-801 and recorded bulk calcium activity while the </w:t>
      </w:r>
      <w:r w:rsidR="00C87E71">
        <w:lastRenderedPageBreak/>
        <w:t xml:space="preserve">mice performed the task. After a saline injection, we observed </w:t>
      </w:r>
      <w:r w:rsidR="00CC37C6">
        <w:t xml:space="preserve">an increase in calcium activity prior to the retrieval of the pellet. Similarly, after the pellet was retrieved, when the mouse was consuming the pellet, we observed a strong decrease in calcium signaling, consistent with previous reports (Figure 1F, REFs). In contrast, after an MK-801 injection, the increase in calcium prior to pellet retrieval, and the decrease post-retrieval was substantially diminished (Figure 1G-H), suggesting that NMDAR antagonism not only spontaneous but also behaviorally evoked calcium changes. Interestingly, mice poked and received pellets at similar rates (Figure1 </w:t>
      </w:r>
      <w:proofErr w:type="gramStart"/>
      <w:r w:rsidR="00CC37C6">
        <w:t>I,J</w:t>
      </w:r>
      <w:proofErr w:type="gramEnd"/>
      <w:r w:rsidR="00CC37C6">
        <w:t>), suggesting that bulk calcium activity in striatal neurons is not necessary for executing previously learned operant actions.</w:t>
      </w:r>
    </w:p>
    <w:p w14:paraId="34BA1B3F" w14:textId="776F9DFF" w:rsidR="00CC37C6" w:rsidRDefault="00CC37C6" w:rsidP="00B01ED8">
      <w:r>
        <w:t xml:space="preserve">A plausible mechanism for the strong decrease in calcium activity </w:t>
      </w:r>
      <w:r w:rsidR="007F3DED">
        <w:t xml:space="preserve">after NMDAR antagonism </w:t>
      </w:r>
      <w:r w:rsidR="00AC0943">
        <w:t xml:space="preserve">is that </w:t>
      </w:r>
      <w:r w:rsidR="007F3DED">
        <w:t xml:space="preserve">action-potential driven activity </w:t>
      </w:r>
      <w:proofErr w:type="gramStart"/>
      <w:r w:rsidR="007F3DED">
        <w:t>is .</w:t>
      </w:r>
      <w:proofErr w:type="gramEnd"/>
      <w:r w:rsidR="007F3DED">
        <w:t xml:space="preserve"> Indeed, NMDARs have been reported to be important for burst firing activity (REFs). Moreover, backpropagating (BP) action potentials been proposed as the source of the non-somatic changes observed in bulk calcium recordings </w:t>
      </w:r>
      <w:r w:rsidR="007F3DED">
        <w:rPr>
          <w:i/>
          <w:iCs/>
        </w:rPr>
        <w:t xml:space="preserve">in vivo </w:t>
      </w:r>
      <w:r w:rsidR="007F3DED" w:rsidRPr="007F3DED">
        <w:t>(REF)</w:t>
      </w:r>
      <w:r w:rsidR="007F3DED">
        <w:rPr>
          <w:i/>
          <w:iCs/>
        </w:rPr>
        <w:t xml:space="preserve">, </w:t>
      </w:r>
      <w:r w:rsidR="007F3DED">
        <w:t xml:space="preserve">potentially through BP-action potential activation of NMDARs (REF). To test for this possibility, we performed simultaneous </w:t>
      </w:r>
      <w:r w:rsidR="007F3DED">
        <w:rPr>
          <w:i/>
          <w:iCs/>
        </w:rPr>
        <w:t xml:space="preserve">in vivo </w:t>
      </w:r>
      <w:r w:rsidR="007F3DED">
        <w:t>electrophysiology and bulk calcium recordings (Figure 1K,</w:t>
      </w:r>
      <w:r w:rsidR="00B9525A">
        <w:t xml:space="preserve"> N mice, X females, Y males,</w:t>
      </w:r>
      <w:r w:rsidR="007F3DED">
        <w:t xml:space="preserve"> see online methods and REF). We recorded calcium and action potential firing activity while the mouse explored an open field. We recorded a baseline period for 20 minutes, and then we injected MK-801 (0.3mg/Kg), and recorded for 40 more minutes</w:t>
      </w:r>
      <w:r w:rsidR="005C0046">
        <w:t xml:space="preserve"> (Figure 1L)</w:t>
      </w:r>
      <w:r w:rsidR="007F3DED">
        <w:t xml:space="preserve">. Consistent </w:t>
      </w:r>
      <w:r w:rsidR="005C0046">
        <w:t xml:space="preserve">with </w:t>
      </w:r>
      <w:r w:rsidR="00B9525A">
        <w:t>our previous experiment, we observed a strong decrease in calcium activity after MK-801 injection, which was strongest 20 minutes after MK-801 injection. To identify the effects of MK-801 on firing activity, we found peaks in activity in the average firing rate (</w:t>
      </w:r>
      <w:r w:rsidR="008876B6">
        <w:t xml:space="preserve">i.e. “bursts”, </w:t>
      </w:r>
      <w:r w:rsidR="00B9525A">
        <w:t xml:space="preserve">see Online Methods). Interestingly, we found that MK-801 reduced the frequency of firing </w:t>
      </w:r>
      <w:r w:rsidR="005C0046">
        <w:t>bursts</w:t>
      </w:r>
      <w:r w:rsidR="00B9525A">
        <w:t xml:space="preserve">, confirming an important role of NMDARs in firing activity. However, we found that calcium transients were </w:t>
      </w:r>
      <w:r w:rsidR="008876B6">
        <w:t>significantly more strongly reduced, with bursts showing a ~50% reduction in frequency, while calcium transients showed over 90% reduction in frequency. This suggests that NMDAR differentially impacts calcium activity and firing rate. To further characterize this, we identified</w:t>
      </w:r>
      <w:r w:rsidR="005C0046">
        <w:t xml:space="preserve"> firing</w:t>
      </w:r>
      <w:r w:rsidR="008876B6">
        <w:t xml:space="preserve"> bursts in the baseline and post-MK801</w:t>
      </w:r>
      <w:r w:rsidR="008876B6" w:rsidRPr="008876B6">
        <w:t xml:space="preserve"> </w:t>
      </w:r>
      <w:r w:rsidR="008876B6">
        <w:t>period</w:t>
      </w:r>
      <w:r w:rsidR="008876B6">
        <w:t>s</w:t>
      </w:r>
      <w:r w:rsidR="008876B6">
        <w:t xml:space="preserve"> </w:t>
      </w:r>
      <w:r w:rsidR="008876B6">
        <w:t>that had</w:t>
      </w:r>
      <w:r w:rsidR="008876B6">
        <w:t xml:space="preserve"> similar amplitude</w:t>
      </w:r>
      <w:r w:rsidR="008876B6">
        <w:t>s and assessed the calcium activity around these bursts (see Online Methods). In the baseline period, in average, firing bursts co-occurred with increases in calcium activity</w:t>
      </w:r>
      <w:r w:rsidR="005C0046">
        <w:t xml:space="preserve">. </w:t>
      </w:r>
      <w:r w:rsidR="008876B6">
        <w:t xml:space="preserve">In contrast, </w:t>
      </w:r>
      <w:r w:rsidR="005C0046">
        <w:t xml:space="preserve">in the post-MK801 period, </w:t>
      </w:r>
      <w:r w:rsidR="008876B6">
        <w:t>spiking bursts of similar amplitude</w:t>
      </w:r>
      <w:r w:rsidR="005C0046">
        <w:t>s displayed significantly lower increases in calcium (Figure 1N, O). These results suggest that NMDARs differentially modulate burst firing activity and non-somatic calcium activity, having a significantly larger contribution to calcium changes. Additionally, these results provide evidence that BP-action potentials are unlikely to drive calcium changes detected by bulk calcium recordings.</w:t>
      </w:r>
    </w:p>
    <w:p w14:paraId="241A086F" w14:textId="5787BF5A" w:rsidR="002943F5" w:rsidRDefault="005C0046" w:rsidP="00B01ED8">
      <w:r>
        <w:t xml:space="preserve">An important caveat of </w:t>
      </w:r>
      <w:r w:rsidR="000C1F59">
        <w:t xml:space="preserve">these </w:t>
      </w:r>
      <w:r>
        <w:t xml:space="preserve">experiments is that </w:t>
      </w:r>
      <w:proofErr w:type="spellStart"/>
      <w:r>
        <w:t>i.p.</w:t>
      </w:r>
      <w:proofErr w:type="spellEnd"/>
      <w:r>
        <w:t xml:space="preserve"> injections </w:t>
      </w:r>
      <w:r w:rsidR="000C1F59">
        <w:t xml:space="preserve">of MK-801 lead to global antagonism of all NMDARs. Therefore, the observed effects cannot be attributed to NMDARs of striatal neurons alone, but can be the result of other mechanisms, such as a decrease in global excitatory drive. To remedy this, we combined local infusions of MK-801 or saline, with bulk calcium recordings in the DMS (Figure 2A, N mice, X females, Y males). We first recorded a baseline period, after which the mice were infused with saline or MK-801 </w:t>
      </w:r>
      <w:r w:rsidR="000C1F59">
        <w:t>(1uL of 0.1mg/mL, 1mg/mL, 2mg/mL, or 4mg/mL)</w:t>
      </w:r>
      <w:r w:rsidR="000C1F59">
        <w:t xml:space="preserve"> and then placed in their home-cage (see Online Methods). After ~30 minutes, calcium recordings were </w:t>
      </w:r>
      <w:r w:rsidR="0048060F">
        <w:t xml:space="preserve">restarted </w:t>
      </w:r>
      <w:r w:rsidR="000C1F59">
        <w:t>for at least 30 minutes</w:t>
      </w:r>
      <w:r w:rsidR="0048060F">
        <w:t xml:space="preserve"> (Figure 2B)</w:t>
      </w:r>
      <w:r w:rsidR="000C1F59">
        <w:t xml:space="preserve">. </w:t>
      </w:r>
      <w:r w:rsidR="0048060F">
        <w:t xml:space="preserve">We observed a consistent, strong, dose-dependent decrease in calcium transients after MK-801 infusion, compared to saline (Figure </w:t>
      </w:r>
      <w:r w:rsidR="0048060F">
        <w:lastRenderedPageBreak/>
        <w:t>2C), with the 2mg/mL and 4mL doses reducing the transient rate down to &lt;20%. This suggests that local antagonism of NMDARs reduces spontaneous calcium changes. To further characterize these effects, we analyzed changes in power of the calcium signal at different frequencies. Again, we found a robust, dose-dependent, decrease in power in all frequencies after MK-801 infusion (Figure 2D-F). Together, these results demonstrate that striatal NMDARs are the primary driver of striatal calcium signaling.</w:t>
      </w:r>
    </w:p>
    <w:p w14:paraId="531C3FC1" w14:textId="4F64F9DF" w:rsidR="0048060F" w:rsidRDefault="0011697E" w:rsidP="00B01ED8">
      <w:r>
        <w:t>Next, we sought to understand the function of this striatal NMDAR-driven calcium signaling. Striatal calcium activity is correlated with reward-related behavior, yet, mice were able to execute an operant task to obtain food after systemic NMDAR antagonism at similar levels to saline injections (Figure 1</w:t>
      </w:r>
      <w:proofErr w:type="gramStart"/>
      <w:r>
        <w:t>I,J</w:t>
      </w:r>
      <w:proofErr w:type="gramEnd"/>
      <w:r>
        <w:t xml:space="preserve">). However, it has been hypothesized that calcium is important for learning, functioning as a third factor in a three-factor plasticity rule (REFs) or, analogously, as an eligibility trace that </w:t>
      </w:r>
      <w:r w:rsidR="00AD1380">
        <w:t>helps reinforcement of actions that were specifically</w:t>
      </w:r>
      <w:r w:rsidR="00F22B12">
        <w:t xml:space="preserve"> relevant for obtaining the reward</w:t>
      </w:r>
      <w:r w:rsidR="00AD1380">
        <w:t xml:space="preserve">. Under this framework, antagonism of striatal NMDARs should not prevent execution of previously learned behaviors but should disrupt new learning. To test this hypothesis, we trained mice on a two-armed bandit task in their home-cage. In this task, a poke on one side (e.g. left) was associated with an 80% probability of receiving a food reward, while poking on the other side (e.g. right) was associated with a 20% probability of receiving a reward. These probabilities were reversed every time the mouse received 30 rewards. Importantly, mice were trained for at least two weeks, until they had reached pre-established performance thresholds (see Online Methods). Then, mice were implanted with bilateral cannulas in the DMS. After recovery from surgery (at least 1 week, where they continued to engage with the task in the home-cage), mice were tested on an 8-hour session of the task. Prior to the test session, mice were food restricted for up to 24 hours, and </w:t>
      </w:r>
      <w:r w:rsidR="00F22B12">
        <w:t>immediately before the beginning of the session</w:t>
      </w:r>
      <w:r w:rsidR="00AD1380">
        <w:t xml:space="preserve"> either saline or MK-801 (1uL/hemisphere at a 4mg/mL concentration) was infused</w:t>
      </w:r>
      <w:r w:rsidR="00F22B12">
        <w:t xml:space="preserve"> (Figure 3A)</w:t>
      </w:r>
      <w:r w:rsidR="00AD1380">
        <w:t>.</w:t>
      </w:r>
      <w:r w:rsidR="00F22B12">
        <w:t xml:space="preserve"> Mice were able to perform the task after saline or MK-801 infusion (Figure 3B), obtaining a similar number of pellets (Figure 3C) and poking a similar number of times (Figure 3D)</w:t>
      </w:r>
      <w:r w:rsidR="00C227AF">
        <w:t xml:space="preserve">, demonstrating that mice were able to execute the task. Next, to assess learning, we first compared the number of pokes that mice had to </w:t>
      </w:r>
      <w:r w:rsidR="002731A2">
        <w:t xml:space="preserve">do obtain a single pellet (i.e. pokes/pellet ratio, where 2 pokes/pellet is chance level, and 1 poke/pellet is perfect performance). Interestingly, after MK-801 infusion mice showed worse performance, with a significantly higher poke/pellet ratio (Figure 3E). </w:t>
      </w:r>
      <w:r w:rsidR="00A26D86">
        <w:t>Then, we analyzed performance specifically in the trials</w:t>
      </w:r>
      <w:r w:rsidR="00A26D86" w:rsidRPr="00A26D86">
        <w:t xml:space="preserve"> </w:t>
      </w:r>
      <w:r w:rsidR="00A26D86">
        <w:t>the prior and posterior to when the probabilities reverse</w:t>
      </w:r>
      <w:r w:rsidR="00A26D86">
        <w:t xml:space="preserve">d, where learning should be most evident. We observed that prior to the probability reversals, </w:t>
      </w:r>
      <w:r w:rsidR="00A224CF">
        <w:t xml:space="preserve">where mice should be making the highest proportion of correct choices, </w:t>
      </w:r>
      <w:r w:rsidR="00A26D86">
        <w:t xml:space="preserve">mice infused with MK-801 showed a significantly lower accuracy (Figure 3F). </w:t>
      </w:r>
      <w:r w:rsidR="00A224CF">
        <w:t>In contrast,</w:t>
      </w:r>
      <w:r w:rsidR="00A26D86">
        <w:t xml:space="preserve"> </w:t>
      </w:r>
      <w:r w:rsidR="00A224CF">
        <w:t xml:space="preserve">after the probability reversals, when mice are making the most mistakes, the accuracy of mice after MK-801 infusion was similar to saline-infused mice (Figure 3F). This suggests that MK-801 may differentially affect learning from rewarded choices (hereon “wins”) than from unrewarded choices (hereon “losses”). To further assess this, we looked into learning metrics that </w:t>
      </w:r>
      <w:r w:rsidR="007B3759">
        <w:t>can dissociate these forms of learning. To assess learning from wins, we first quantified “win-stay” behavior. We observed that after MK-801 infusion, mice are significantly to less likely to repeat an action that was rewarded on the prior trial. To expand on this, we used a logistic regression to assess the influence of previously rewarded actions</w:t>
      </w:r>
      <w:r w:rsidR="004F0D2D">
        <w:t xml:space="preserve"> on current choice</w:t>
      </w:r>
      <w:r w:rsidR="007B3759">
        <w:t xml:space="preserve"> (see Online Methods, REFs). We observed that after MK-801 infusion, previously rewarded trials had as significantly lower influence </w:t>
      </w:r>
      <w:r w:rsidR="004F0D2D">
        <w:t xml:space="preserve">in current choices </w:t>
      </w:r>
      <w:r w:rsidR="007B3759">
        <w:t>compared to saline infusions (Figure 3I). Finally, we fit a reinforcement learning</w:t>
      </w:r>
      <w:r w:rsidR="004F0D2D">
        <w:t xml:space="preserve"> (RL)</w:t>
      </w:r>
      <w:r w:rsidR="007B3759">
        <w:t xml:space="preserve"> model that has distinct learning rates for learning from wins and losses</w:t>
      </w:r>
      <w:r w:rsidR="004F0D2D">
        <w:t xml:space="preserve"> (Figure S5, </w:t>
      </w:r>
      <w:r w:rsidR="004F0D2D">
        <w:lastRenderedPageBreak/>
        <w:t>REFs)</w:t>
      </w:r>
      <w:r w:rsidR="007B3759">
        <w:t xml:space="preserve">. We found that </w:t>
      </w:r>
      <w:r w:rsidR="004F0D2D">
        <w:t xml:space="preserve">after MK-801 infusion, mice have </w:t>
      </w:r>
      <w:r w:rsidR="007B3759">
        <w:t xml:space="preserve">a lower learning rate for learning from wins (Figure 3J). </w:t>
      </w:r>
      <w:r w:rsidR="004F0D2D">
        <w:t xml:space="preserve">In contrast, when we assessed learning from losses, we observed no difference between saline and MK-801 infusions in “lose-shift” behavior, a logistic regression that quantifies the influence of unrewarded actions on current choice, or in the RL-fitted “loss learning rate.” Importantly, these effects are dependent on the proportion of NMDARs antagonized (i.e. dose-dependent), as the same experimental set up but with </w:t>
      </w:r>
      <w:proofErr w:type="spellStart"/>
      <w:r w:rsidR="004F0D2D">
        <w:t>i.p.</w:t>
      </w:r>
      <w:proofErr w:type="spellEnd"/>
      <w:r w:rsidR="004F0D2D">
        <w:t xml:space="preserve"> MK-801 injections led to stronger effects (Figure S6), while local striatal infusion with a lower dose of MK-801 led to milder effects (Figure S7). Finally, to test whether these effects where due to an increase in non-goal-directed behavior (e.g. exploratory)</w:t>
      </w:r>
      <w:r w:rsidR="00177D11">
        <w:t xml:space="preserve"> rather a disruption in learning, we repeated these experiments using a fixed-ratio 1 (FR1) task, where one nose-port (e.g. left side) is always associated with a 100% probability of reward (active poke), while the other side is associated with a 0% probability of reward (inactive poke), and these probabilities never change (N mice, X females, Y males). Mice that received MK-801 (either intra-</w:t>
      </w:r>
      <w:proofErr w:type="spellStart"/>
      <w:r w:rsidR="00177D11">
        <w:t>striatally</w:t>
      </w:r>
      <w:proofErr w:type="spellEnd"/>
      <w:r w:rsidR="00177D11">
        <w:t xml:space="preserve"> or </w:t>
      </w:r>
      <w:proofErr w:type="spellStart"/>
      <w:r w:rsidR="00177D11">
        <w:t>i.p.</w:t>
      </w:r>
      <w:proofErr w:type="spellEnd"/>
      <w:r w:rsidR="00177D11">
        <w:t>) were as accurate as mice that received saline, both groups being over &gt;90% accurate, and displayed similar “win-stay” behavior (Figure S8). These results demonstrate that striatal NMDARs are necessary for continuous learning, but not for the execution of previously learned actions</w:t>
      </w:r>
      <w:r w:rsidR="005929B2">
        <w:t xml:space="preserve">, </w:t>
      </w:r>
      <w:r w:rsidR="00C908B8">
        <w:t>expanding</w:t>
      </w:r>
      <w:r w:rsidR="005929B2">
        <w:t xml:space="preserve"> previous results (REFs)</w:t>
      </w:r>
      <w:r w:rsidR="00177D11">
        <w:t>.</w:t>
      </w:r>
    </w:p>
    <w:p w14:paraId="6309188C" w14:textId="41E86E39" w:rsidR="00593FD9" w:rsidRPr="00593FD9" w:rsidRDefault="00177D11" w:rsidP="00B01ED8">
      <w:r>
        <w:t>All together</w:t>
      </w:r>
      <w:r w:rsidR="00C908B8">
        <w:t>,</w:t>
      </w:r>
      <w:r>
        <w:t xml:space="preserve"> these experiments demonstrate that NMDARs are the primary drivers of striatal calcium signaling and are critical for continuous learning.</w:t>
      </w:r>
      <w:r w:rsidR="00BC09DA">
        <w:t xml:space="preserve"> </w:t>
      </w:r>
      <w:r w:rsidR="00BC565E">
        <w:t>Although many more experiments are needed, our results support</w:t>
      </w:r>
      <w:r w:rsidR="00593FD9">
        <w:t xml:space="preserve"> that, in addition to supporting </w:t>
      </w:r>
      <w:r w:rsidR="00593FD9">
        <w:t xml:space="preserve">burst firing activity, </w:t>
      </w:r>
      <w:r w:rsidR="00593FD9">
        <w:t xml:space="preserve">NMDAR-driven striatal calcium may function as an eligibility trace that track, </w:t>
      </w:r>
      <w:r w:rsidR="00593FD9">
        <w:t>on a moment-to-moment basis, which striatal neurons are eligible for dopamine-driven plasticity.</w:t>
      </w:r>
      <w:r w:rsidR="00593FD9">
        <w:t xml:space="preserve"> This is consistent with the correlations observed between striatal calcium and specific motor patterns (REFs), </w:t>
      </w:r>
      <w:r w:rsidR="00593FD9">
        <w:rPr>
          <w:i/>
          <w:iCs/>
        </w:rPr>
        <w:t xml:space="preserve">ex vivo </w:t>
      </w:r>
      <w:r w:rsidR="00593FD9">
        <w:t xml:space="preserve">reports </w:t>
      </w:r>
      <w:r w:rsidR="005929B2">
        <w:t xml:space="preserve">of the essential role of NMDARs and calcium in dopamine-driven striatal plasticity (REFs), and theoretical models of striatal plasticity rules (REFs). </w:t>
      </w:r>
      <w:r w:rsidR="00C908B8">
        <w:t>More generally</w:t>
      </w:r>
      <w:r w:rsidR="005929B2">
        <w:t xml:space="preserve">, </w:t>
      </w:r>
      <w:r w:rsidR="00C908B8">
        <w:t>these results bring us a step closer towards understanding how the brain solves the credit assignment problem.</w:t>
      </w:r>
    </w:p>
    <w:p w14:paraId="632B8BB9" w14:textId="52A59A73" w:rsidR="00BC565E" w:rsidRPr="005C0046" w:rsidRDefault="00BC09DA" w:rsidP="00B01ED8">
      <w:r>
        <w:t xml:space="preserve"> </w:t>
      </w:r>
    </w:p>
    <w:sectPr w:rsidR="00BC565E" w:rsidRPr="005C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1"/>
    <w:rsid w:val="000A0142"/>
    <w:rsid w:val="000C1F59"/>
    <w:rsid w:val="0011697E"/>
    <w:rsid w:val="00177D11"/>
    <w:rsid w:val="001C3E31"/>
    <w:rsid w:val="0021042E"/>
    <w:rsid w:val="002731A2"/>
    <w:rsid w:val="002943F5"/>
    <w:rsid w:val="00300D0F"/>
    <w:rsid w:val="00456129"/>
    <w:rsid w:val="0048060F"/>
    <w:rsid w:val="004E2D8B"/>
    <w:rsid w:val="004F0D2D"/>
    <w:rsid w:val="005929B2"/>
    <w:rsid w:val="00593FD9"/>
    <w:rsid w:val="005C0046"/>
    <w:rsid w:val="00716330"/>
    <w:rsid w:val="00754744"/>
    <w:rsid w:val="00774E01"/>
    <w:rsid w:val="007B3759"/>
    <w:rsid w:val="007F3DED"/>
    <w:rsid w:val="008258AC"/>
    <w:rsid w:val="008876B6"/>
    <w:rsid w:val="008C2F89"/>
    <w:rsid w:val="009853BB"/>
    <w:rsid w:val="00A20752"/>
    <w:rsid w:val="00A224CF"/>
    <w:rsid w:val="00A26D86"/>
    <w:rsid w:val="00AC0943"/>
    <w:rsid w:val="00AD1380"/>
    <w:rsid w:val="00B01ED8"/>
    <w:rsid w:val="00B9525A"/>
    <w:rsid w:val="00BC09DA"/>
    <w:rsid w:val="00BC565E"/>
    <w:rsid w:val="00C227AF"/>
    <w:rsid w:val="00C87E71"/>
    <w:rsid w:val="00C908B8"/>
    <w:rsid w:val="00CC37C6"/>
    <w:rsid w:val="00D00FEB"/>
    <w:rsid w:val="00D27D0E"/>
    <w:rsid w:val="00E22CA1"/>
    <w:rsid w:val="00E36250"/>
    <w:rsid w:val="00EA17D1"/>
    <w:rsid w:val="00F2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8AE"/>
  <w15:chartTrackingRefBased/>
  <w15:docId w15:val="{55272857-C025-4BFA-A1AC-F410E329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D1"/>
    <w:pPr>
      <w:spacing w:line="259" w:lineRule="auto"/>
    </w:pPr>
    <w:rPr>
      <w:sz w:val="22"/>
      <w:szCs w:val="22"/>
    </w:rPr>
  </w:style>
  <w:style w:type="paragraph" w:styleId="Heading1">
    <w:name w:val="heading 1"/>
    <w:basedOn w:val="Normal"/>
    <w:next w:val="Normal"/>
    <w:link w:val="Heading1Char"/>
    <w:uiPriority w:val="9"/>
    <w:qFormat/>
    <w:rsid w:val="00EA17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D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A17D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A17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A17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A17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A17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D1"/>
    <w:rPr>
      <w:rFonts w:eastAsiaTheme="majorEastAsia" w:cstheme="majorBidi"/>
      <w:color w:val="272727" w:themeColor="text1" w:themeTint="D8"/>
    </w:rPr>
  </w:style>
  <w:style w:type="paragraph" w:styleId="Title">
    <w:name w:val="Title"/>
    <w:basedOn w:val="Normal"/>
    <w:next w:val="Normal"/>
    <w:link w:val="TitleChar"/>
    <w:uiPriority w:val="10"/>
    <w:qFormat/>
    <w:rsid w:val="00EA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A17D1"/>
    <w:rPr>
      <w:i/>
      <w:iCs/>
      <w:color w:val="404040" w:themeColor="text1" w:themeTint="BF"/>
    </w:rPr>
  </w:style>
  <w:style w:type="paragraph" w:styleId="ListParagraph">
    <w:name w:val="List Paragraph"/>
    <w:basedOn w:val="Normal"/>
    <w:uiPriority w:val="34"/>
    <w:qFormat/>
    <w:rsid w:val="00EA17D1"/>
    <w:pPr>
      <w:spacing w:line="278" w:lineRule="auto"/>
      <w:ind w:left="720"/>
      <w:contextualSpacing/>
    </w:pPr>
    <w:rPr>
      <w:sz w:val="24"/>
      <w:szCs w:val="24"/>
    </w:rPr>
  </w:style>
  <w:style w:type="character" w:styleId="IntenseEmphasis">
    <w:name w:val="Intense Emphasis"/>
    <w:basedOn w:val="DefaultParagraphFont"/>
    <w:uiPriority w:val="21"/>
    <w:qFormat/>
    <w:rsid w:val="00EA17D1"/>
    <w:rPr>
      <w:i/>
      <w:iCs/>
      <w:color w:val="0F4761" w:themeColor="accent1" w:themeShade="BF"/>
    </w:rPr>
  </w:style>
  <w:style w:type="paragraph" w:styleId="IntenseQuote">
    <w:name w:val="Intense Quote"/>
    <w:basedOn w:val="Normal"/>
    <w:next w:val="Normal"/>
    <w:link w:val="IntenseQuoteChar"/>
    <w:uiPriority w:val="30"/>
    <w:qFormat/>
    <w:rsid w:val="00EA17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A17D1"/>
    <w:rPr>
      <w:i/>
      <w:iCs/>
      <w:color w:val="0F4761" w:themeColor="accent1" w:themeShade="BF"/>
    </w:rPr>
  </w:style>
  <w:style w:type="character" w:styleId="IntenseReference">
    <w:name w:val="Intense Reference"/>
    <w:basedOn w:val="DefaultParagraphFont"/>
    <w:uiPriority w:val="32"/>
    <w:qFormat/>
    <w:rsid w:val="00EA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 A</dc:creator>
  <cp:keywords/>
  <dc:description/>
  <cp:lastModifiedBy>Legaria Macal, Alex A</cp:lastModifiedBy>
  <cp:revision>3</cp:revision>
  <dcterms:created xsi:type="dcterms:W3CDTF">2025-07-25T15:55:00Z</dcterms:created>
  <dcterms:modified xsi:type="dcterms:W3CDTF">2025-07-25T16:16:00Z</dcterms:modified>
</cp:coreProperties>
</file>