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04E9EFAD"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independently from</w:t>
      </w:r>
      <w:r w:rsidR="00CE108C">
        <w:rPr>
          <w:u w:val="single"/>
        </w:rPr>
        <w:t xml:space="preserve"> changes in</w:t>
      </w:r>
      <w:r w:rsidR="00EB01CC">
        <w:rPr>
          <w:u w:val="single"/>
        </w:rPr>
        <w:t xml:space="preserve"> spiking activity.</w:t>
      </w:r>
    </w:p>
    <w:p w14:paraId="250CFA51" w14:textId="09AFD75E"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w:t>
      </w:r>
      <w:r w:rsidR="00C71C01">
        <w:t>nknown</w:t>
      </w:r>
      <w:r w:rsidR="00EB01CC">
        <w:t>.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which we in </w:t>
      </w:r>
      <w:r>
        <w:t xml:space="preserve">we injected </w:t>
      </w:r>
      <w:r w:rsidR="007E51C3">
        <w:t>intra-peritoneally (</w:t>
      </w:r>
      <w:proofErr w:type="spellStart"/>
      <w:r w:rsidR="007E51C3">
        <w:t>i.p.</w:t>
      </w:r>
      <w:proofErr w:type="spellEnd"/>
      <w:r w:rsidR="007E51C3">
        <w:t xml:space="preserve">)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w:t>
      </w:r>
      <w:proofErr w:type="gramStart"/>
      <w:r w:rsidR="00EB01CC">
        <w:t>C,D</w:t>
      </w:r>
      <w:proofErr w:type="gramEnd"/>
      <w:r w:rsidR="00EB01CC">
        <w:t xml:space="preserve">).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facilitating in DOWN to UP state transitions and spontaneous firing </w:t>
      </w:r>
      <w:r>
        <w:rPr>
          <w:i/>
          <w:iCs/>
        </w:rPr>
        <w:t>in vivo</w:t>
      </w:r>
      <w:r>
        <w:t xml:space="preserve"> (refs). Therefore, the observed decrease in calcium signaling induced by NMDAR antagonism may be caused indirectly, through the reduction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w:t>
      </w:r>
      <w:proofErr w:type="spellStart"/>
      <w:r>
        <w:t>i.p.</w:t>
      </w:r>
      <w:proofErr w:type="spellEnd"/>
      <w:r>
        <w:t xml:space="preserve">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than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w:t>
      </w:r>
      <w:proofErr w:type="gramStart"/>
      <w:r>
        <w:t>H,I</w:t>
      </w:r>
      <w:proofErr w:type="gramEnd"/>
      <w:r>
        <w:t>)</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NMDARs antagonism diminishes behaviorally-evoked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w:t>
      </w:r>
      <w:proofErr w:type="spellStart"/>
      <w:r w:rsidR="00B0445B">
        <w:t>i.p.</w:t>
      </w:r>
      <w:proofErr w:type="spellEnd"/>
      <w:r w:rsidR="00B0445B">
        <w:t xml:space="preserve">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MK801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290AC451" w:rsidR="00B55F30" w:rsidRDefault="003C33DB" w:rsidP="00CC66A2">
      <w:r>
        <w:t xml:space="preserve">A limitation of </w:t>
      </w:r>
      <w:r w:rsidR="00980FF5">
        <w:t xml:space="preserve">using </w:t>
      </w:r>
      <w:r>
        <w:t>systemic antagonism of NMDARs</w:t>
      </w:r>
      <w:r w:rsidR="00980FF5">
        <w:t xml:space="preserve"> is th</w:t>
      </w:r>
      <w:r w:rsidR="00EB01CC">
        <w:t xml:space="preserve">at observed effects in striatal calcium signaling cannot directly be attributed to striatal NMDARs. For instance, the decrease in calcium activity may be </w:t>
      </w:r>
      <w:r w:rsidR="00CE108C">
        <w:t>caused by an</w:t>
      </w:r>
      <w:r w:rsidR="00EB01CC">
        <w:t xml:space="preserve"> overall reduction of excitatory drive in the entire brain. To directly address this possibility, we infused MK801 directly into the DMS of mice and recorded bulk calcium activity in this same region. T</w:t>
      </w:r>
      <w:r w:rsidR="00CE108C">
        <w:t>o</w:t>
      </w:r>
      <w:r w:rsidR="00EB01CC">
        <w:t xml:space="preserve">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deliver</w:t>
      </w:r>
      <w:r w:rsidR="0011414F">
        <w:t>ed</w:t>
      </w:r>
      <w:r w:rsidR="005A40CF">
        <w:t xml:space="preserve"> </w:t>
      </w:r>
      <w:r w:rsidR="0011414F">
        <w:t xml:space="preserve">different doses of </w:t>
      </w:r>
      <w:r w:rsidR="005A40CF">
        <w:t xml:space="preserve">MK-801 </w:t>
      </w:r>
      <w:r w:rsidR="0011414F">
        <w:t xml:space="preserve">(1uL at 0.1, 1, 2, or 4 mg/mL, see methods) or saline </w:t>
      </w:r>
      <w:r w:rsidR="005A40CF">
        <w:t>intra-</w:t>
      </w:r>
      <w:proofErr w:type="spellStart"/>
      <w:r w:rsidR="005A40CF">
        <w:t>striatally</w:t>
      </w:r>
      <w:proofErr w:type="spellEnd"/>
      <w:r w:rsidR="005A40CF">
        <w:t>, approximately in the same volume to the field of view of the optical fiber.</w:t>
      </w:r>
      <w:r w:rsidR="000F4A28">
        <w:t xml:space="preserve"> </w:t>
      </w:r>
      <w:r w:rsidR="0011414F">
        <w:t xml:space="preserve">We observed that saline infusion reduced the amplitude of the signals detected by the fiber, likely due to changes in lights scattering caused by the solution. However, the dynamics and signal-to-noise ratio </w:t>
      </w:r>
      <w:r w:rsidR="005155DF">
        <w:t xml:space="preserve">and transient rate </w:t>
      </w:r>
      <w:r w:rsidR="0011414F">
        <w:t>remained unchanged.</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3BB82694" w14:textId="784CE391" w:rsidR="005155DF" w:rsidRDefault="005155DF">
      <w:bookmarkStart w:id="0" w:name="_Hlk201247903"/>
      <w:r>
        <w:t>Our previous experiments demonstrate that NMDARs are the primary source of calcium in striatal neurons. An intriguing corollary to our results is the observation that NMDAR-driven calcium changes is highly dynamic, with ma</w:t>
      </w:r>
      <w:r w:rsidR="00B5438A">
        <w:t xml:space="preserve">ny transient increases in activity. </w:t>
      </w:r>
    </w:p>
    <w:p w14:paraId="5425E0FF" w14:textId="02B15573" w:rsidR="00B5438A" w:rsidRDefault="00B5438A">
      <w:r>
        <w:t xml:space="preserve">NMDARs have widely been implicated in both synaptic plasticity and learning in the striatum. Yet, </w:t>
      </w:r>
      <w:r w:rsidR="00FA3D2C">
        <w:t>finding mechanisms that plausibly bridge the sub-second timescales of synaptic plasticity events and</w:t>
      </w:r>
      <w:r w:rsidR="003C7E10">
        <w:t xml:space="preserve"> to</w:t>
      </w:r>
      <w:r w:rsidR="00FA3D2C">
        <w:t xml:space="preserve"> th</w:t>
      </w:r>
      <w:r w:rsidR="003C7E10">
        <w:t>ose</w:t>
      </w:r>
      <w:r w:rsidR="00FA3D2C">
        <w:t xml:space="preserve"> of behavioral learning events has proved to be challenging. One hypothesis is that NMDAR driven calcium influx work</w:t>
      </w:r>
      <w:r w:rsidR="003C7E10">
        <w:t xml:space="preserve">. </w:t>
      </w:r>
    </w:p>
    <w:p w14:paraId="7CEBE521" w14:textId="77777777" w:rsidR="0073775A" w:rsidRDefault="003C7E10">
      <w:r>
        <w:t>Under this hypothesis, NMDAR driven intracellular calcium allows learning by keeping a record of recent actions and restricting dopamine-driven plasticity to recently activated neurons. If this hypothesis is true, then disrupting NMDAR signaling should disrupt learning</w:t>
      </w:r>
      <w:r w:rsidR="00875687">
        <w:t xml:space="preserve"> in a moment-to-moment timescale. For instance, in a trial-based task where optimal performance requires learning from previous trials, disruption of NMDAR signaling should disrupt reinforcement of previously rewarded action and thus decrease the performance in the task. </w:t>
      </w:r>
    </w:p>
    <w:p w14:paraId="0F4AA7FD" w14:textId="1157CB43" w:rsidR="0073775A" w:rsidRDefault="00875687">
      <w:r>
        <w:t>To test this hypothesis, we turned to a two-armed bandit task, where mice h</w:t>
      </w:r>
      <w:r w:rsidR="00BA04BD">
        <w:t xml:space="preserve">ad to choose between a left or a right nose-poke to obtain a food reward. Each side was associated with either an 80% probability or a 20% probability of obtaining </w:t>
      </w:r>
      <w:r w:rsidR="00250298">
        <w:t>the reward</w:t>
      </w:r>
      <w:r w:rsidR="00BA04BD">
        <w:t xml:space="preserve"> (heron “bandit task”). These probabilities reversed every time mouse obtained 30 pellets. We trained 15 mice </w:t>
      </w:r>
      <w:r w:rsidR="00250298">
        <w:t xml:space="preserve">(X males, Y females) </w:t>
      </w:r>
      <w:r w:rsidR="00BA04BD">
        <w:t>on this bandit task for at least two weeks</w:t>
      </w:r>
      <w:r w:rsidR="00575B65">
        <w:t xml:space="preserve"> in their home-cage</w:t>
      </w:r>
      <w:r w:rsidR="00BA04BD">
        <w:t xml:space="preserve">, until they had reached pre-established performance criteria (see methods). Then, we implanted bilateral cannula implants into the DMS of </w:t>
      </w:r>
      <w:r w:rsidR="00250298">
        <w:t>these mice</w:t>
      </w:r>
      <w:r w:rsidR="00BA04BD">
        <w:t xml:space="preserve">. After surgery recovery (see methods), we </w:t>
      </w:r>
      <w:r w:rsidR="00575B65">
        <w:t>food deprived</w:t>
      </w:r>
      <w:r w:rsidR="00250298">
        <w:t xml:space="preserve"> the</w:t>
      </w:r>
      <w:r w:rsidR="00575B65">
        <w:t xml:space="preserve"> mice for a test 8-hr session (see methods). Prior to the beginning of the test session, we infused into the striatum saline or MK-801 (1uL per hemisphere at a 4mg/mL</w:t>
      </w:r>
      <w:r w:rsidR="00363B63">
        <w:t xml:space="preserve"> </w:t>
      </w:r>
      <w:r w:rsidR="00575B65">
        <w:t xml:space="preserve">concentration). </w:t>
      </w:r>
      <w:r w:rsidR="00363B63">
        <w:t>We</w:t>
      </w:r>
      <w:r w:rsidR="00217111">
        <w:t xml:space="preserve"> found no difference in the number of pellets mice obtained in the 8-hour session </w:t>
      </w:r>
      <w:r w:rsidR="00217111">
        <w:lastRenderedPageBreak/>
        <w:t>after infusion of MK-801 versus saline</w:t>
      </w:r>
      <w:r w:rsidR="00363B63">
        <w:t xml:space="preserve">, nor in the number of pokes the mice made </w:t>
      </w:r>
      <w:r w:rsidR="00217111">
        <w:t>(</w:t>
      </w:r>
      <w:r w:rsidR="0073775A">
        <w:t>Figure 4</w:t>
      </w:r>
      <w:proofErr w:type="gramStart"/>
      <w:r w:rsidR="00363B63">
        <w:t>C,D</w:t>
      </w:r>
      <w:proofErr w:type="gramEnd"/>
      <w:r w:rsidR="0073775A">
        <w:t xml:space="preserve"> </w:t>
      </w:r>
      <w:r w:rsidR="00217111">
        <w:t>stats here)</w:t>
      </w:r>
      <w:r w:rsidR="0073775A">
        <w:t>, showing the mice were able to properly perform the task</w:t>
      </w:r>
      <w:r w:rsidR="00C71C01">
        <w:t>.</w:t>
      </w:r>
      <w:bookmarkEnd w:id="0"/>
      <w:r w:rsidR="00C71C01">
        <w:rPr>
          <w:noProof/>
        </w:rPr>
        <mc:AlternateContent>
          <mc:Choice Requires="wps">
            <w:drawing>
              <wp:anchor distT="0" distB="0" distL="114300" distR="114300" simplePos="0" relativeHeight="251660288" behindDoc="0" locked="0" layoutInCell="1" allowOverlap="1" wp14:anchorId="4F3E5B93" wp14:editId="05C1249D">
                <wp:simplePos x="0" y="0"/>
                <wp:positionH relativeFrom="margin">
                  <wp:align>right</wp:align>
                </wp:positionH>
                <wp:positionV relativeFrom="paragraph">
                  <wp:posOffset>379806</wp:posOffset>
                </wp:positionV>
                <wp:extent cx="1579880" cy="5486400"/>
                <wp:effectExtent l="0" t="0" r="1270" b="0"/>
                <wp:wrapSquare wrapText="bothSides"/>
                <wp:docPr id="2" name="Text Box 2"/>
                <wp:cNvGraphicFramePr/>
                <a:graphic xmlns:a="http://schemas.openxmlformats.org/drawingml/2006/main">
                  <a:graphicData uri="http://schemas.microsoft.com/office/word/2010/wordprocessingShape">
                    <wps:wsp>
                      <wps:cNvSpPr txBox="1"/>
                      <wps:spPr>
                        <a:xfrm>
                          <a:off x="0" y="0"/>
                          <a:ext cx="1579880" cy="5486400"/>
                        </a:xfrm>
                        <a:prstGeom prst="rect">
                          <a:avLst/>
                        </a:prstGeom>
                        <a:solidFill>
                          <a:schemeClr val="lt1"/>
                        </a:solidFill>
                        <a:ln w="6350">
                          <a:noFill/>
                        </a:ln>
                      </wps:spPr>
                      <wps:txb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w:t>
                            </w:r>
                            <w:proofErr w:type="gramStart"/>
                            <w:r w:rsidR="00653F6B" w:rsidRPr="00822C78">
                              <w:rPr>
                                <w:sz w:val="17"/>
                                <w:szCs w:val="17"/>
                              </w:rPr>
                              <w:t>(F)  (</w:t>
                            </w:r>
                            <w:proofErr w:type="gramEnd"/>
                            <w:r w:rsidR="00653F6B" w:rsidRPr="00822C78">
                              <w:rPr>
                                <w:sz w:val="17"/>
                                <w:szCs w:val="17"/>
                              </w:rPr>
                              <w:t xml:space="preserve">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w:t>
                            </w:r>
                            <w:proofErr w:type="gramStart"/>
                            <w:r w:rsidR="00653F6B" w:rsidRPr="00822C78">
                              <w:rPr>
                                <w:sz w:val="17"/>
                                <w:szCs w:val="17"/>
                              </w:rPr>
                              <w:t xml:space="preserve">in </w:t>
                            </w:r>
                            <w:r w:rsidR="00911314" w:rsidRPr="00822C78">
                              <w:rPr>
                                <w:sz w:val="17"/>
                                <w:szCs w:val="17"/>
                              </w:rPr>
                              <w:t>.</w:t>
                            </w:r>
                            <w:proofErr w:type="gramEnd"/>
                            <w:r w:rsidR="00911314" w:rsidRPr="00822C78">
                              <w:rPr>
                                <w:sz w:val="17"/>
                                <w:szCs w:val="17"/>
                              </w:rPr>
                              <w:t xml:space="preserve">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E5B93" id="_x0000_t202" coordsize="21600,21600" o:spt="202" path="m,l,21600r21600,l21600,xe">
                <v:stroke joinstyle="miter"/>
                <v:path gradientshapeok="t" o:connecttype="rect"/>
              </v:shapetype>
              <v:shape id="Text Box 2" o:spid="_x0000_s1026" type="#_x0000_t202" style="position:absolute;margin-left:73.2pt;margin-top:29.9pt;width:124.4pt;height:6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JLQIAAFU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" fillcolor="white [3201]" stroked="f" strokeweight=".5pt">
                <v:textbo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w:t>
                      </w:r>
                      <w:proofErr w:type="gramStart"/>
                      <w:r w:rsidR="00653F6B" w:rsidRPr="00822C78">
                        <w:rPr>
                          <w:sz w:val="17"/>
                          <w:szCs w:val="17"/>
                        </w:rPr>
                        <w:t>(F)  (</w:t>
                      </w:r>
                      <w:proofErr w:type="gramEnd"/>
                      <w:r w:rsidR="00653F6B" w:rsidRPr="00822C78">
                        <w:rPr>
                          <w:sz w:val="17"/>
                          <w:szCs w:val="17"/>
                        </w:rPr>
                        <w:t xml:space="preserve">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w:t>
                      </w:r>
                      <w:proofErr w:type="gramStart"/>
                      <w:r w:rsidR="00653F6B" w:rsidRPr="00822C78">
                        <w:rPr>
                          <w:sz w:val="17"/>
                          <w:szCs w:val="17"/>
                        </w:rPr>
                        <w:t xml:space="preserve">in </w:t>
                      </w:r>
                      <w:r w:rsidR="00911314" w:rsidRPr="00822C78">
                        <w:rPr>
                          <w:sz w:val="17"/>
                          <w:szCs w:val="17"/>
                        </w:rPr>
                        <w:t>.</w:t>
                      </w:r>
                      <w:proofErr w:type="gramEnd"/>
                      <w:r w:rsidR="00911314" w:rsidRPr="00822C78">
                        <w:rPr>
                          <w:sz w:val="17"/>
                          <w:szCs w:val="17"/>
                        </w:rPr>
                        <w:t xml:space="preserve">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v:textbox>
                <w10:wrap type="square" anchorx="margin"/>
              </v:shape>
            </w:pict>
          </mc:Fallback>
        </mc:AlternateContent>
      </w:r>
      <w:r w:rsidR="00363B63">
        <w:rPr>
          <w:noProof/>
        </w:rPr>
        <w:drawing>
          <wp:inline distT="0" distB="0" distL="0" distR="0" wp14:anchorId="73907B00" wp14:editId="08CBADDB">
            <wp:extent cx="4243705" cy="54806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3705" cy="5480685"/>
                    </a:xfrm>
                    <a:prstGeom prst="rect">
                      <a:avLst/>
                    </a:prstGeom>
                  </pic:spPr>
                </pic:pic>
              </a:graphicData>
            </a:graphic>
          </wp:inline>
        </w:drawing>
      </w:r>
    </w:p>
    <w:p w14:paraId="5EAC36F0" w14:textId="5067C661" w:rsidR="006E1EBF" w:rsidRDefault="0073775A">
      <w:r>
        <w:t xml:space="preserve">To test whether performance and learning in the task was different after MK-801 </w:t>
      </w:r>
      <w:r w:rsidR="00C71C01">
        <w:t>versos</w:t>
      </w:r>
      <w:r>
        <w:t xml:space="preserve"> saline infusion, we first </w:t>
      </w:r>
      <w:r w:rsidR="00CD42AA">
        <w:t xml:space="preserve">tested how many pokes it took, </w:t>
      </w:r>
      <w:r w:rsidR="00F82B7D">
        <w:t>on</w:t>
      </w:r>
      <w:r w:rsidR="00CD42AA">
        <w:t xml:space="preserve"> average, to obtain a pellet. A higher number in this metric suggests worse performance and vice versa, with a value of 2 being chance level and a value of 1 being perfect performance. After MK-801 infusion, </w:t>
      </w:r>
      <w:r w:rsidR="00C71C01">
        <w:t xml:space="preserve">despite having similar number of pokes and pellets, </w:t>
      </w:r>
      <w:r w:rsidR="00CD42AA">
        <w:t>it took mice more pokes to obtain a pellet than after a saline infusion (</w:t>
      </w:r>
      <w:r w:rsidR="00AC343B">
        <w:t>p-value&lt;0.05)</w:t>
      </w:r>
      <w:r w:rsidR="00822C78">
        <w:t xml:space="preserve">. </w:t>
      </w:r>
    </w:p>
    <w:p w14:paraId="46452662" w14:textId="197D653B" w:rsidR="0064179B" w:rsidRDefault="00822C78">
      <w:r>
        <w:t xml:space="preserve">To further </w:t>
      </w:r>
      <w:r w:rsidR="00C71C01">
        <w:t>investigate changes in</w:t>
      </w:r>
      <w:r>
        <w:t xml:space="preserve"> performance and learning metrics, we assessed how </w:t>
      </w:r>
      <w:r w:rsidR="00363B63">
        <w:t xml:space="preserve">well mice performed around the </w:t>
      </w:r>
      <w:r w:rsidR="00C71C01">
        <w:t xml:space="preserve">trials where the probabilities associated which each side were reversed. </w:t>
      </w:r>
      <w:r w:rsidR="006E1EBF">
        <w:t>We observed</w:t>
      </w:r>
      <w:r w:rsidR="0064179B">
        <w:t xml:space="preserve"> that after a saline infusion, mice displayed an increasing accuracy as they approached the criterion (obtaining 30 pellets) for reversal of probabilities. In contrast, after an MK-801 infusion, mice did not show an increase in accuracy as the reversal of probabilities approached (Figure 4F, left). Overall, saline mice had a significantly higher average accuracy in the 10 trials prior probability reversal (Figure </w:t>
      </w:r>
      <w:r w:rsidR="0064179B">
        <w:lastRenderedPageBreak/>
        <w:t xml:space="preserve">4F, right). Interestingly, there was no difference in the average accuracy post-reversal (stats).  </w:t>
      </w:r>
      <w:r w:rsidR="00F82B7D">
        <w:t xml:space="preserve">There are important differences between the pre-reversal and post-reversal periods. Prior to the reversal, mice display high accuracy, with few mistakes made, and thus it would appear that mice are learning mostly from rewarded actions. In contrast, in the post-reversal period accuracy is low, with mice learning primarily from unrewarded actions. Prior studies have suggested that mice learn from rewarded and unrewarded actions at different rates (REFs), which suggest these learning strategies </w:t>
      </w:r>
      <w:r w:rsidR="00F96C29">
        <w:t>may be dissociable</w:t>
      </w:r>
      <w:r w:rsidR="00F82B7D">
        <w:t>. Given the</w:t>
      </w:r>
      <w:r w:rsidR="00F96C29">
        <w:t xml:space="preserve"> decrease in pre-reversal accuracy but not in post-reversal accuracy after MK-801 infusion and the prior literature, we investigated more in depth the effect of NMDAR antagonism in these two strategies.</w:t>
      </w:r>
    </w:p>
    <w:p w14:paraId="01D210FB" w14:textId="65ABAE2B" w:rsidR="00613030" w:rsidRPr="005C2117" w:rsidRDefault="00F96C29">
      <w:r>
        <w:t xml:space="preserve">First, we assessed differences in learning from rewarded trials (Figure 4G-J).  After MK-801 infusion, mice displayed a significantly lower </w:t>
      </w:r>
      <w:r>
        <w:rPr>
          <w:i/>
          <w:iCs/>
        </w:rPr>
        <w:t>win-sta</w:t>
      </w:r>
      <w:r w:rsidR="00ED6CCB">
        <w:rPr>
          <w:i/>
          <w:iCs/>
        </w:rPr>
        <w:t xml:space="preserve">y </w:t>
      </w:r>
      <w:r w:rsidR="00ED6CCB">
        <w:t xml:space="preserve">behavior (Figure 4H). Next, to expand on this analysis, we used logistic regression to determine how much influence the past 5 trials, if and only if they were rewarded, had on the next choice. The higher the regressor coefficient of a trial, the more influence it had on the next choice. In agreement with previous studies (REFS), we found that the most recent trial had the highest influence on choice, with trials farther in the past showing decreasing influence (Figure 4I, left). Notably, after MK-801 infusion, mice previously rewarded actions had significantly less influence on choice compared to saline infusions (Figure 4I, right). </w:t>
      </w:r>
      <w:r w:rsidR="00613030">
        <w:t xml:space="preserve">Finally, we estimated the learning rate from rewarded trials, using a well-established reinforcement learning model </w:t>
      </w:r>
      <w:r w:rsidR="005C2117">
        <w:t>(</w:t>
      </w:r>
      <w:r w:rsidR="005C2117">
        <w:rPr>
          <w:i/>
          <w:iCs/>
        </w:rPr>
        <w:t xml:space="preserve">risk-sensitive reinforcement learning, </w:t>
      </w:r>
      <w:r w:rsidR="005C2117">
        <w:t xml:space="preserve">REFs) </w:t>
      </w:r>
      <w:r w:rsidR="00613030">
        <w:t xml:space="preserve">that </w:t>
      </w:r>
      <w:r w:rsidR="00B9303E">
        <w:t xml:space="preserve">uses two distinct learning rate parameters for learning from </w:t>
      </w:r>
      <w:r w:rsidR="005C2117">
        <w:t xml:space="preserve">wins (positive learning rate) and losses (negative learning rate). We found that the estimated positive learning rate was significantly lower after an MK-801 infusion compared to the saline infusion. Overall, </w:t>
      </w:r>
    </w:p>
    <w:p w14:paraId="68D9E6EA" w14:textId="7DFF1DED" w:rsidR="00F96C29" w:rsidRPr="005C2117" w:rsidRDefault="00613030">
      <w:r>
        <w:t xml:space="preserve">Next, we assessed differences in learning from </w:t>
      </w:r>
      <w:r w:rsidR="005C2117">
        <w:t>un</w:t>
      </w:r>
      <w:r>
        <w:t xml:space="preserve">rewarded trials (Figure 4K-N). We observed no difference in </w:t>
      </w:r>
      <w:r>
        <w:rPr>
          <w:i/>
          <w:iCs/>
        </w:rPr>
        <w:t>lose-shift</w:t>
      </w:r>
      <w:r>
        <w:t xml:space="preserve"> behavior after MK-801 infusion compared to saline infusion</w:t>
      </w:r>
      <w:r w:rsidR="005C2117">
        <w:t xml:space="preserve"> (Figure 4L)</w:t>
      </w:r>
      <w:r>
        <w:t xml:space="preserve">. However, we did observe that </w:t>
      </w:r>
      <w:r>
        <w:rPr>
          <w:i/>
          <w:iCs/>
        </w:rPr>
        <w:t>lose-shift</w:t>
      </w:r>
      <w:r>
        <w:t xml:space="preserve"> behavior was below 0.5 in both, meaning that mice tend to repeat actions even after “losing”, consistent with previously described “sticky” behavior (REF). Next, we used logistic regression to measure </w:t>
      </w:r>
      <w:r w:rsidR="005C2117">
        <w:t>the influence of past unrewarded trials on choice. We found that losses had smaller influence on choice compared to wins, and that antagonizing NMDARs had no effect in this influence (Figure 4M). Similarly, the estimated negative learning rate was not different after MK-801 infusion compared to saline (Figure 4N). Overall, these results demonstrate that the antagonism of striatal NMDARs leads to a robust decrease in learning from rewarded actions, but not unrewarded actions, suggesting that NMDAR-driven calcium signal is essential for moment-to</w:t>
      </w:r>
      <w:r w:rsidR="00CC318E">
        <w:t>-moment learning from rewarded actions.</w:t>
      </w:r>
    </w:p>
    <w:p w14:paraId="577E59A1" w14:textId="19404389" w:rsidR="005079A3" w:rsidRDefault="005079A3">
      <w:r>
        <w:t>Importantly, the</w:t>
      </w:r>
      <w:r w:rsidR="00CC318E">
        <w:t xml:space="preserve"> </w:t>
      </w:r>
      <w:r>
        <w:t xml:space="preserve">effects of NMDAR antagonism </w:t>
      </w:r>
      <w:r w:rsidR="00F82B7D">
        <w:t>were</w:t>
      </w:r>
      <w:r>
        <w:t xml:space="preserve"> </w:t>
      </w:r>
      <w:r w:rsidR="00F82B7D">
        <w:t>dose-</w:t>
      </w:r>
      <w:r>
        <w:t xml:space="preserve">dependent, as a lower concentration of MK-801 infusion (2mg/mL) led to similar effects, but with a lower effect size (Figure S8). Additionally, </w:t>
      </w:r>
      <w:proofErr w:type="spellStart"/>
      <w:r>
        <w:t>i.p.</w:t>
      </w:r>
      <w:proofErr w:type="spellEnd"/>
      <w:r>
        <w:t xml:space="preserve"> injections of MK-801 </w:t>
      </w:r>
      <w:r w:rsidR="009B6292">
        <w:t xml:space="preserve">(1mg/Kg) using the same experimental paradigm led to similar, yet stronger effects (Figure S7), with, for instance, </w:t>
      </w:r>
      <w:r w:rsidR="00CC318E">
        <w:t>pre-reversal accuracy</w:t>
      </w:r>
      <w:r w:rsidR="009B6292">
        <w:t xml:space="preserve"> being no higher than chance</w:t>
      </w:r>
      <w:r w:rsidR="00CC318E">
        <w:t xml:space="preserve"> levels</w:t>
      </w:r>
      <w:r w:rsidR="009B6292">
        <w:t xml:space="preserve"> in</w:t>
      </w:r>
      <w:r w:rsidR="00CC318E">
        <w:t xml:space="preserve"> </w:t>
      </w:r>
      <w:proofErr w:type="spellStart"/>
      <w:r w:rsidR="00CC318E">
        <w:t>i.p.</w:t>
      </w:r>
      <w:proofErr w:type="spellEnd"/>
      <w:r w:rsidR="009B6292">
        <w:t xml:space="preserve"> MK-801 injected mice (Figure S7F). This suggests that the volume restriction of local drug injection</w:t>
      </w:r>
      <w:r w:rsidR="006E1EBF">
        <w:t>s</w:t>
      </w:r>
      <w:r w:rsidR="009B6292">
        <w:t xml:space="preserve"> using cannulas leads to only </w:t>
      </w:r>
      <w:r w:rsidR="00A9316C">
        <w:t>partial</w:t>
      </w:r>
      <w:r w:rsidR="006E1EBF">
        <w:t xml:space="preserve">, yet substantial, effects on learning. Yet, </w:t>
      </w:r>
      <w:r w:rsidR="009B6292">
        <w:t>antagonism of all (or at least a majority</w:t>
      </w:r>
      <w:r w:rsidR="00F82B7D">
        <w:t xml:space="preserve"> of</w:t>
      </w:r>
      <w:r w:rsidR="009B6292">
        <w:t>) striatal NMDARs</w:t>
      </w:r>
      <w:r w:rsidR="006E1EBF">
        <w:t xml:space="preserve"> through systemic delivery of antagonists,</w:t>
      </w:r>
      <w:r w:rsidR="006E1EBF" w:rsidRPr="006E1EBF">
        <w:t xml:space="preserve"> </w:t>
      </w:r>
      <w:r w:rsidR="006E1EBF">
        <w:t>with likely additional contributions from NMDAR in other brain regions, l</w:t>
      </w:r>
      <w:r w:rsidR="009B6292">
        <w:t>ead</w:t>
      </w:r>
      <w:r w:rsidR="006E1EBF">
        <w:t>s</w:t>
      </w:r>
      <w:r w:rsidR="009B6292">
        <w:t xml:space="preserve"> to a very strong reduction of learning from rewarded </w:t>
      </w:r>
      <w:r w:rsidR="006E1EBF">
        <w:t>actions</w:t>
      </w:r>
      <w:r w:rsidR="005C2117">
        <w:t xml:space="preserve">. </w:t>
      </w:r>
    </w:p>
    <w:p w14:paraId="7EAC4314" w14:textId="33199C05" w:rsidR="005F5294" w:rsidRDefault="00F82B7D">
      <w:r>
        <w:lastRenderedPageBreak/>
        <w:t>Finally, we</w:t>
      </w:r>
      <w:r w:rsidR="005F5294">
        <w:t xml:space="preserve"> evaluated the possibility </w:t>
      </w:r>
      <w:r w:rsidR="00911FCA">
        <w:t>that</w:t>
      </w:r>
      <w:r w:rsidR="005F5294">
        <w:t xml:space="preserve"> these effects were due to an increase in non-goal directed </w:t>
      </w:r>
      <w:r w:rsidR="00CC318E">
        <w:t>behavior</w:t>
      </w:r>
      <w:r w:rsidR="005F5294">
        <w:t>.</w:t>
      </w:r>
      <w:r w:rsidR="00911FCA">
        <w:t xml:space="preserve"> W</w:t>
      </w:r>
      <w:r w:rsidR="005F5294">
        <w:t>e</w:t>
      </w:r>
      <w:r w:rsidR="005F5294" w:rsidRPr="005F5294">
        <w:t xml:space="preserve"> </w:t>
      </w:r>
      <w:r w:rsidR="005F5294">
        <w:t xml:space="preserve">home-cage trained </w:t>
      </w:r>
      <w:r w:rsidR="00540E3C">
        <w:t xml:space="preserve">6 </w:t>
      </w:r>
      <w:r w:rsidR="005F5294">
        <w:t xml:space="preserve">mice </w:t>
      </w:r>
      <w:r w:rsidR="00540E3C">
        <w:t xml:space="preserve">(X males, Y females) </w:t>
      </w:r>
      <w:r w:rsidR="005F5294">
        <w:t>on a Fixed Ratio 1 task (FR1 task</w:t>
      </w:r>
      <w:r w:rsidR="00CC318E">
        <w:t>)</w:t>
      </w:r>
      <w:r w:rsidR="005F5294">
        <w:t>, such that a left-side poke was associated with a 100% of probability of a food reward</w:t>
      </w:r>
      <w:r w:rsidR="005079A3">
        <w:t xml:space="preserve"> (active)</w:t>
      </w:r>
      <w:r w:rsidR="005F5294">
        <w:t>, while a right-side poke was associated with a 0% of reward</w:t>
      </w:r>
      <w:r w:rsidR="005079A3">
        <w:t xml:space="preserve"> (inactive)</w:t>
      </w:r>
      <w:r w:rsidR="005F5294">
        <w:t xml:space="preserve">, </w:t>
      </w:r>
      <w:r w:rsidR="00911FCA">
        <w:t xml:space="preserve">with no </w:t>
      </w:r>
      <w:r w:rsidR="00CC318E">
        <w:t xml:space="preserve">further </w:t>
      </w:r>
      <w:r w:rsidR="00911FCA">
        <w:t>change in these probabilities</w:t>
      </w:r>
      <w:r w:rsidR="005F5294">
        <w:t xml:space="preserve">. </w:t>
      </w:r>
      <w:r w:rsidR="00540E3C">
        <w:t xml:space="preserve">We followed the same </w:t>
      </w:r>
      <w:r w:rsidR="005079A3">
        <w:t xml:space="preserve">experimental paradigm </w:t>
      </w:r>
      <w:r w:rsidR="00D2338C">
        <w:t>as in</w:t>
      </w:r>
      <w:r w:rsidR="005079A3">
        <w:t xml:space="preserve"> the bandit task experiment, with training until proficiency was reached, bilateral cannula implantation in DMS, and a test session after surgery recovery. During the test session, mice infused with MK-801 (1uL per hemisphere, at 4mg/mL) obtained poked significantly more and obtained more pellets (although the increase in pellets obtained was not statistically significant, at p=0.07). Importantly, the ratio of active pokes </w:t>
      </w:r>
      <w:r w:rsidR="00ED28FE">
        <w:t xml:space="preserve">and </w:t>
      </w:r>
      <w:r w:rsidR="005079A3">
        <w:t>inactive pokes</w:t>
      </w:r>
      <w:r w:rsidR="00ED28FE">
        <w:t xml:space="preserve">, and </w:t>
      </w:r>
      <w:r w:rsidR="00ED28FE">
        <w:rPr>
          <w:i/>
          <w:iCs/>
        </w:rPr>
        <w:t>win-stay</w:t>
      </w:r>
      <w:r w:rsidR="00ED28FE">
        <w:t xml:space="preserve"> behavior</w:t>
      </w:r>
      <w:r w:rsidR="005079A3">
        <w:t xml:space="preserve"> was not different between MK-801 and saline infusion</w:t>
      </w:r>
      <w:r w:rsidR="00911FCA">
        <w:t xml:space="preserve"> </w:t>
      </w:r>
      <w:r w:rsidR="005079A3">
        <w:t>(Figure S</w:t>
      </w:r>
      <w:r w:rsidR="00ED28FE">
        <w:t>8)</w:t>
      </w:r>
      <w:r w:rsidR="00CC318E">
        <w:t xml:space="preserve">. This result also held for mice where MK-801 was injected </w:t>
      </w:r>
      <w:proofErr w:type="spellStart"/>
      <w:r w:rsidR="00CC318E">
        <w:t>i.p.</w:t>
      </w:r>
      <w:proofErr w:type="spellEnd"/>
      <w:r w:rsidR="00CC318E">
        <w:t xml:space="preserve"> (Figure S9)</w:t>
      </w:r>
      <w:r w:rsidR="00ED28FE">
        <w:t xml:space="preserve">. </w:t>
      </w:r>
      <w:r w:rsidR="00911FCA">
        <w:t>These results suggest that the decrease in performance and learning observed in the bandit task after striatal NMDAR antagonism was not due to an increase in non-goal directed actions but rather by a decrease in the capacity of learning from rewards.</w:t>
      </w:r>
    </w:p>
    <w:p w14:paraId="1FB3B84B" w14:textId="6EFEF89D" w:rsidR="00EB01CC" w:rsidRPr="00C71C01" w:rsidRDefault="00EB01CC">
      <w:r>
        <w:rPr>
          <w:b/>
          <w:bCs/>
        </w:rPr>
        <w:t>Discussion:</w:t>
      </w:r>
    </w:p>
    <w:p w14:paraId="43BA2B1B" w14:textId="1E2EBBB5" w:rsidR="008D69D6" w:rsidRDefault="00FC5C4A">
      <w:r>
        <w:t xml:space="preserve">Here, we demonstrated that NMDARs are the primary driver of striatal calcium </w:t>
      </w:r>
      <w:r>
        <w:rPr>
          <w:i/>
          <w:iCs/>
        </w:rPr>
        <w:t>in vivo</w:t>
      </w:r>
      <w:r>
        <w:t>. Moreover, we showed that NMDAR-driven calcium is necessary for moment-to-moment learning from reward</w:t>
      </w:r>
      <w:r w:rsidR="007F7CE8">
        <w:t>ed actions.</w:t>
      </w:r>
    </w:p>
    <w:p w14:paraId="7AFCE0D6" w14:textId="6F1C68E9" w:rsidR="0056527E" w:rsidRDefault="008D69D6">
      <w:r>
        <w:t>Our previous study showed that most calcium changes in striatum come from non-somatic sources (REF)</w:t>
      </w:r>
      <w:r w:rsidR="00C26CC0">
        <w:t>, most likely driven by dendritic activity</w:t>
      </w:r>
      <w:r>
        <w:t xml:space="preserve">. </w:t>
      </w:r>
      <w:r w:rsidR="00B14FD6">
        <w:t>However, MSN</w:t>
      </w:r>
      <w:r w:rsidR="004D1089">
        <w:t xml:space="preserve"> dendrites contain multiple calcium sources including NMDARs, different types of voltage-gated calcium channels, and calcium-permeable AMPARs</w:t>
      </w:r>
      <w:r w:rsidR="00C26CC0">
        <w:t xml:space="preserve">. </w:t>
      </w:r>
      <w:r w:rsidR="00C26CC0">
        <w:rPr>
          <w:i/>
          <w:iCs/>
        </w:rPr>
        <w:t>Ex vivo</w:t>
      </w:r>
      <w:r w:rsidR="00C26CC0">
        <w:t xml:space="preserve">, it has been shown that NMDARs are the primary source of dendritic calcium. Here, we show that antagonism of NMDARs diminishes most striatal calcium signaling, supporting that NMDARs are the primary driver of calcium signaling </w:t>
      </w:r>
      <w:r w:rsidR="00C26CC0">
        <w:rPr>
          <w:i/>
          <w:iCs/>
        </w:rPr>
        <w:t>in vivo</w:t>
      </w:r>
      <w:r w:rsidR="00C26CC0">
        <w:t>. Importantly, we observed that NMDAR antagonism also decreased action potentials in striatal neurons, consistent with previous studies</w:t>
      </w:r>
      <w:r w:rsidR="003920F3">
        <w:t xml:space="preserve"> (REFs)</w:t>
      </w:r>
      <w:r w:rsidR="003565BA">
        <w:t xml:space="preserve">. </w:t>
      </w:r>
      <w:r w:rsidR="0056527E">
        <w:t>[…]</w:t>
      </w:r>
    </w:p>
    <w:p w14:paraId="6BD10757" w14:textId="77777777" w:rsidR="0056527E" w:rsidRDefault="003565BA">
      <w:r>
        <w:t>Thus, calcium signaling diminishment by NMDAR antagonism is at least partially independent from changes in action potential activity.</w:t>
      </w:r>
    </w:p>
    <w:p w14:paraId="392FF586" w14:textId="40929E8E" w:rsidR="0056527E" w:rsidRDefault="0056527E">
      <w:r>
        <w:t xml:space="preserve">Thus, calcium influx through NMDARs </w:t>
      </w:r>
      <w:proofErr w:type="gramStart"/>
      <w:r>
        <w:t>appear</w:t>
      </w:r>
      <w:proofErr w:type="gramEnd"/>
      <w:r>
        <w:t xml:space="preserve"> to have an orthogonal function in addition to the facilitation of bursts of action potentials. </w:t>
      </w:r>
    </w:p>
    <w:p w14:paraId="10A6D35B" w14:textId="7E0FE8E5" w:rsidR="00705680" w:rsidRPr="00EE5EA9" w:rsidRDefault="007F7CE8" w:rsidP="007F7CE8">
      <w:pPr>
        <w:tabs>
          <w:tab w:val="left" w:pos="7648"/>
        </w:tabs>
      </w:pPr>
      <w:r>
        <w:t>We</w:t>
      </w:r>
      <w:r w:rsidR="0056527E">
        <w:t xml:space="preserve"> interpret calcium influx through NMDARs as having two</w:t>
      </w:r>
      <w:r>
        <w:t xml:space="preserve"> orthogonal</w:t>
      </w:r>
      <w:r w:rsidR="0056527E">
        <w:t xml:space="preserve"> functions: First, facilitating bursts of action potentials. Second, “tagging” recently active neurons, which presumably correlate with specific actions (REFS), making them eligible for </w:t>
      </w:r>
      <w:r w:rsidR="0022253E">
        <w:t>dopamine-driven plasticity.</w:t>
      </w:r>
      <w:r w:rsidR="0056527E">
        <w:t xml:space="preserve"> This is consistent</w:t>
      </w:r>
      <w:r>
        <w:t xml:space="preserve"> and partially explains the increase in activity of both D1-MSNs and D2-MSNs neurons upon reward-related behaviors and movement onset. </w:t>
      </w:r>
      <w:r w:rsidR="0022253E">
        <w:t xml:space="preserve">When </w:t>
      </w:r>
    </w:p>
    <w:sectPr w:rsidR="00705680"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37B32"/>
    <w:rsid w:val="0006707F"/>
    <w:rsid w:val="000714BC"/>
    <w:rsid w:val="00075614"/>
    <w:rsid w:val="000B42EC"/>
    <w:rsid w:val="000C108A"/>
    <w:rsid w:val="000D4379"/>
    <w:rsid w:val="000F259F"/>
    <w:rsid w:val="000F4A28"/>
    <w:rsid w:val="000F6474"/>
    <w:rsid w:val="00104EA6"/>
    <w:rsid w:val="0011414F"/>
    <w:rsid w:val="001A45B3"/>
    <w:rsid w:val="001F1BB2"/>
    <w:rsid w:val="001F3B1D"/>
    <w:rsid w:val="002147C6"/>
    <w:rsid w:val="002155EA"/>
    <w:rsid w:val="00217111"/>
    <w:rsid w:val="0022253E"/>
    <w:rsid w:val="0023111C"/>
    <w:rsid w:val="00250298"/>
    <w:rsid w:val="0027435A"/>
    <w:rsid w:val="002A5C8F"/>
    <w:rsid w:val="002C5415"/>
    <w:rsid w:val="002E6175"/>
    <w:rsid w:val="002F0A0A"/>
    <w:rsid w:val="002F18E9"/>
    <w:rsid w:val="00300A63"/>
    <w:rsid w:val="003150F8"/>
    <w:rsid w:val="003565BA"/>
    <w:rsid w:val="003635A4"/>
    <w:rsid w:val="00363B63"/>
    <w:rsid w:val="0038227E"/>
    <w:rsid w:val="003920F3"/>
    <w:rsid w:val="003961F5"/>
    <w:rsid w:val="003B400D"/>
    <w:rsid w:val="003C33DB"/>
    <w:rsid w:val="003C7E10"/>
    <w:rsid w:val="00433F80"/>
    <w:rsid w:val="00491BC8"/>
    <w:rsid w:val="004B0530"/>
    <w:rsid w:val="004D1089"/>
    <w:rsid w:val="004D48DB"/>
    <w:rsid w:val="00504214"/>
    <w:rsid w:val="005079A3"/>
    <w:rsid w:val="005155DF"/>
    <w:rsid w:val="005327A4"/>
    <w:rsid w:val="00540E3C"/>
    <w:rsid w:val="0056527E"/>
    <w:rsid w:val="00575B65"/>
    <w:rsid w:val="005A40CF"/>
    <w:rsid w:val="005B44F2"/>
    <w:rsid w:val="005C2117"/>
    <w:rsid w:val="005D607D"/>
    <w:rsid w:val="005F5294"/>
    <w:rsid w:val="00602262"/>
    <w:rsid w:val="00613030"/>
    <w:rsid w:val="00615B7E"/>
    <w:rsid w:val="006249CA"/>
    <w:rsid w:val="00633A35"/>
    <w:rsid w:val="0064179B"/>
    <w:rsid w:val="006513BD"/>
    <w:rsid w:val="00653F6B"/>
    <w:rsid w:val="00656D75"/>
    <w:rsid w:val="00685B59"/>
    <w:rsid w:val="006D65AA"/>
    <w:rsid w:val="006E1EBF"/>
    <w:rsid w:val="00705680"/>
    <w:rsid w:val="00707581"/>
    <w:rsid w:val="0072028B"/>
    <w:rsid w:val="00727FFD"/>
    <w:rsid w:val="0073775A"/>
    <w:rsid w:val="00744F77"/>
    <w:rsid w:val="007B190D"/>
    <w:rsid w:val="007B1B6D"/>
    <w:rsid w:val="007C3907"/>
    <w:rsid w:val="007E0395"/>
    <w:rsid w:val="007E51C3"/>
    <w:rsid w:val="007F16AD"/>
    <w:rsid w:val="007F7CE8"/>
    <w:rsid w:val="00806B05"/>
    <w:rsid w:val="008143B9"/>
    <w:rsid w:val="00822C78"/>
    <w:rsid w:val="00850C2C"/>
    <w:rsid w:val="00875687"/>
    <w:rsid w:val="008D69D6"/>
    <w:rsid w:val="0090530E"/>
    <w:rsid w:val="00911314"/>
    <w:rsid w:val="00911FCA"/>
    <w:rsid w:val="00915122"/>
    <w:rsid w:val="009251CD"/>
    <w:rsid w:val="00980FF5"/>
    <w:rsid w:val="009A5497"/>
    <w:rsid w:val="009B6292"/>
    <w:rsid w:val="00A5279A"/>
    <w:rsid w:val="00A60DE9"/>
    <w:rsid w:val="00A85EFB"/>
    <w:rsid w:val="00A9316C"/>
    <w:rsid w:val="00AB4274"/>
    <w:rsid w:val="00AC343B"/>
    <w:rsid w:val="00AC4640"/>
    <w:rsid w:val="00AE7F2B"/>
    <w:rsid w:val="00B0445B"/>
    <w:rsid w:val="00B14FD6"/>
    <w:rsid w:val="00B41A3E"/>
    <w:rsid w:val="00B5438A"/>
    <w:rsid w:val="00B55F30"/>
    <w:rsid w:val="00B80F8D"/>
    <w:rsid w:val="00B9303E"/>
    <w:rsid w:val="00BA04BD"/>
    <w:rsid w:val="00BA7883"/>
    <w:rsid w:val="00BB15EB"/>
    <w:rsid w:val="00BC28D4"/>
    <w:rsid w:val="00BE161C"/>
    <w:rsid w:val="00C0068B"/>
    <w:rsid w:val="00C22B33"/>
    <w:rsid w:val="00C26CC0"/>
    <w:rsid w:val="00C3422C"/>
    <w:rsid w:val="00C36528"/>
    <w:rsid w:val="00C661EB"/>
    <w:rsid w:val="00C71C01"/>
    <w:rsid w:val="00C746A0"/>
    <w:rsid w:val="00CC318E"/>
    <w:rsid w:val="00CC66A2"/>
    <w:rsid w:val="00CD42AA"/>
    <w:rsid w:val="00CE108C"/>
    <w:rsid w:val="00CE649C"/>
    <w:rsid w:val="00CF7081"/>
    <w:rsid w:val="00D151C3"/>
    <w:rsid w:val="00D20ABA"/>
    <w:rsid w:val="00D2338C"/>
    <w:rsid w:val="00DA54A1"/>
    <w:rsid w:val="00DC07E3"/>
    <w:rsid w:val="00DD39DD"/>
    <w:rsid w:val="00DF37F2"/>
    <w:rsid w:val="00DF5618"/>
    <w:rsid w:val="00E34397"/>
    <w:rsid w:val="00E364BD"/>
    <w:rsid w:val="00E96263"/>
    <w:rsid w:val="00EB01CC"/>
    <w:rsid w:val="00EB7027"/>
    <w:rsid w:val="00EC01A2"/>
    <w:rsid w:val="00ED28FE"/>
    <w:rsid w:val="00ED37C2"/>
    <w:rsid w:val="00ED4599"/>
    <w:rsid w:val="00ED6CCB"/>
    <w:rsid w:val="00EE5EA9"/>
    <w:rsid w:val="00F40B3F"/>
    <w:rsid w:val="00F809AC"/>
    <w:rsid w:val="00F82338"/>
    <w:rsid w:val="00F82B7D"/>
    <w:rsid w:val="00F86604"/>
    <w:rsid w:val="00F96C29"/>
    <w:rsid w:val="00FA3D2C"/>
    <w:rsid w:val="00FB079D"/>
    <w:rsid w:val="00FC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10279</TotalTime>
  <Pages>6</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 A</cp:lastModifiedBy>
  <cp:revision>10</cp:revision>
  <dcterms:created xsi:type="dcterms:W3CDTF">2025-03-18T16:02:00Z</dcterms:created>
  <dcterms:modified xsi:type="dcterms:W3CDTF">2025-06-20T19:43:00Z</dcterms:modified>
</cp:coreProperties>
</file>