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C8A"/>
          <w:sz w:val="44"/>
          <w:szCs w:val="44"/>
        </w:rPr>
        <w:t xml:space="preserve">ТЕХНИЧЕСКИЙ ОТЧЁТ</w:t>
      </w:r>
    </w:p>
    <w:p>
      <w:pPr>
        <w:spacing w:after="600"/>
        <w:jc w:val="center"/>
      </w:pPr>
      <w:r>
        <w:rPr>
          <w:rFonts w:ascii="Arial" w:cs="Arial" w:eastAsia="Arial" w:hAnsi="Arial"/>
          <w:color w:val="1A1A1A"/>
          <w:sz w:val="30"/>
          <w:szCs w:val="30"/>
        </w:rPr>
        <w:t xml:space="preserve">AI-инструменты для программирования:
Online (cloud) vs Offline (локальные модели)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Сравнительный анализ с практическими примерами на проекте GPUWorkLib</w:t>
      </w:r>
    </w:p>
    <w:p>
      <w:pPr>
        <w:spacing w:before="1200"/>
      </w:pPr>
    </w:p>
    <w:p>
      <w:pPr>
        <w:pBdr>
          <w:top w:val="single" w:color="2E5C8A" w:sz="4" w:space="8"/>
        </w:pBdr>
        <w:spacing w:after="80"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Март 2026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Введение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Искусственный интеллект стал неотъемлемой частью рабочего процесса разработчиков. В 2026 году рынок AI-инструментов для программирования разделился на два крупных направления: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облачные (online) модели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работающие на удалённых серверах через интернет, и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локальные (offline) модели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которые запускаются непосредственно на компьютере разработчика без подключения к сети.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Настоящий отчёт содержит сравнительный анализ этих двух подходов с фокусом на практическом применении для программирования. В качестве эталонных представителей рассматриваются Claude Opus 4.6 (облачная модель от Anthropic) и семейство Qwen 3.5 / Qwen3-Coder-Next (новейшие локальные модели от Alibaba, февраль–март 2026).</w:t>
      </w:r>
    </w:p>
    <w:p>
      <w:pPr>
        <w:pStyle w:val="Heading2"/>
      </w:pPr>
      <w:r>
        <w:t xml:space="preserve">1.1. Словарь ключевых терминов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Прежде чем перейти к сравнению, необходимо расшифровать ключевые термины, которые будут встречаться в отчёте.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5C8A" w:sz="12"/>
              <w:bottom w:val="none" w:sz="0"/>
              <w:right w:val="none" w:sz="0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Параметры модели (0.8B, 9B, 70B, 397B)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Буква B означает «billions» — миллиарды. Это количество числовых коэффициентов (весов), которые модель использует для принятия решений. Чем больше параметров, тем модель «умнее», но и требовательнее к ресурсам. Пример: 9B = 9 миллиардов параметров — работает на ноутбуке; 397B — требует мощного сервера.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5C8A" w:sz="12"/>
              <w:bottom w:val="none" w:sz="0"/>
              <w:right w:val="none" w:sz="0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MoE (Mixture of Experts) — смесь экспертов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Архитектура, где модель содержит много «экспертов», но активирует только несколько из них для каждого запроса. Например, Qwen3-Coder-Next имеет 80B общих параметров, но в каждый момент активны только 3B. Это как большая компания с множеством специалистов: к каждому проекту привлекают нужных, а не всех сразу.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5C8A" w:sz="12"/>
              <w:bottom w:val="none" w:sz="0"/>
              <w:right w:val="none" w:sz="0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Cloud / Online — облачная модель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Модель работает на серверах компании-разработчика (Anthropic, OpenAI, Google). Вы отправляете запрос через интернет, получаете ответ. Плюсы: максимальное качество, огромные вычислительные ресурсы. Минусы: данные покидают ваш компьютер, нужен интернет, оплата за использование. Примеры: Claude, GPT, Gemini.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5C8A" w:sz="12"/>
              <w:bottom w:val="none" w:sz="0"/>
              <w:right w:val="none" w:sz="0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Open / Open-weight — открытая модель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Модель, веса которой свободно доступны для скачивания. Может использоваться как локально, так и через сторонние API. Open-weight отличается от open-source: веса открыты, но обучающие данные и код тренировки могут быть закрыты. Примеры: Qwen, Llama, DeepSeek, MiniMax M2.5.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5C8A" w:sz="12"/>
              <w:bottom w:val="none" w:sz="0"/>
              <w:right w:val="none" w:sz="0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Local / Offline — локальная модель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Открытая модель, запущенная непосредственно на вашем компьютере через программы вроде Ollama, LM Studio или llama.cpp. Все вычисления происходят на вашем оборудовании — данные никогда не покидают машину. Работает без интернета. Полностью бесплатно.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5C8A" w:sz="12"/>
              <w:bottom w:val="none" w:sz="0"/>
              <w:right w:val="none" w:sz="0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SWE-bench Verified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Основной отраслевой бенчмарк для AI-кодинга. Содержит 500 реальных задач из GitHub — настоящие баг-репорты, которые модель должна исправить, сгенерировав патч. Результат проверяется запуском unit-тестов. Процент = доля успешно решённых задач.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5C8A" w:sz="12"/>
              <w:bottom w:val="none" w:sz="0"/>
              <w:right w:val="none" w:sz="0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Токены (tokens)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Единицы текста, которыми оперирует модель. Один токен ≈ 4 символа на английском (на русском меньше — около 1–2 символов). Облачные модели тарифицируются за миллион токенов (M tok). Контекстное окно (128K, 256K, 1M) — максимальный объём текста, который модель может «видеть» одновременно.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5C8A" w:sz="12"/>
              <w:bottom w:val="none" w:sz="0"/>
              <w:right w:val="none" w:sz="0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Quantization (квантизация)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Метод сжатия модели для запуска на меньшем объёме памяти. Обозначения Q4, Q6, Q8 — количество бит на параметр. Q4 = 4 бита (4x сжатие, небольшая потеря качества), Q8 = 8 бит (2x сжатие, минимальная потеря). Позволяет запустить модель на 70B на обычном компьютере.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5C8A" w:sz="12"/>
              <w:bottom w:val="none" w:sz="0"/>
              <w:right w:val="none" w:sz="0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VRAM / RAM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VRAM — память видеокарты (GPU), наиболее эффективна для AI. RAM — оперативная память компьютера. На Mac с Apple Silicon они общие (unified memory). 8GB RAM = модели до 3–7B; 16GB = до 14B; 32GB = до 70B; 64GB+ = крупные модели.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5C8A" w:sz="12"/>
              <w:bottom w:val="none" w:sz="0"/>
              <w:right w:val="none" w:sz="0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Ollama / LM Studio / llama.cpp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Программы для запуска AI-моделей локально. Ollama — командная строка (просто: «ollama run qwen3.5»). LM Studio — графический интерфейс (как ChatGPT, но локально). llama.cpp — движок для продвинутых пользователей с максимальным контролем.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Сравнительная таблица моделей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Ниже представлена таблица наиболее актуальных моделей для программирования по состоянию на март 2026 года.</w:t>
      </w:r>
      <w:r>
        <w:rPr>
          <w:rStyle w:val="FootnoteReference"/>
        </w:rPr>
        <w:footnoteReference w:id="1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300"/>
        <w:gridCol w:w="1400"/>
        <w:gridCol w:w="1300"/>
        <w:gridCol w:w="2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SWE-bench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Контекст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Цена/M tok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Claude Opus 4.6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80.8%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до 1M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 / $25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Лидер по глубине рассуждений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Gemini 3.1 Pro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80.6%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 / $12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Лучшее соотношение цена/качество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MiniMax M2.5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80.2%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256K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$0.30/$1.20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Лучшая открытая модель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79.6%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до 1M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$3 / $15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Оптимальный баланс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Qwen3-Coder-Next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70.6%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256K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80B MoE, 3B активных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Qwen3.5-9B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131K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Лучший до 10B парам.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Llama 3.3 70B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≈65%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128K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Универсальная, GPT-4 уровень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DeepSeek R1 14B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64K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Chain-of-thought для дебага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2.1. Что означают цифры в таблице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SWE-bench 80.8%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модель успешно исправила 404 из 500 реальных багов на GitHub.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$5 / $25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стоимость за миллион токенов (input / output). Один сеанс рефакторинга крупного файла ≈ $0.50–2.00.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Контекст 1M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модель может одновременно «видеть» около 750 000 слов — достаточно для анализа целого репозитория.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Бесплатно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локальные модели не требуют оплаты. Единственная стоимость — электроэнергия вашего компьютера.</w:t>
      </w:r>
    </w:p>
    <w:p>
      <w:r>
        <w:br w:type="page"/>
      </w:r>
    </w:p>
    <w:p>
      <w:pPr>
        <w:pStyle w:val="Heading1"/>
      </w:pPr>
      <w:r>
        <w:t xml:space="preserve">3. Почему AI, а не просто Google?</w:t>
      </w:r>
    </w:p>
    <w:p>
      <w:pPr>
        <w:pStyle w:val="Heading2"/>
      </w:pPr>
      <w:r>
        <w:t xml:space="preserve">3.1. Суть различия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отвечает на вопрос, который вы уже сформулировали. AI помогает задать правильный вопрос — и увидеть проблему, которую вы ещё не осознали.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Поиск в Google — это словарь: вы знаете слово, ищете определение. AI — это собеседник-архитектор: вы описываете задачу, а он видит всю картину, включая то, что вы забыли упомянуть.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Разница становится критичной в трёх ситуациях: когда проблема комплексная (затрагивает несколько слоёв системы), когда она ещё не случилась (нужен ревью архитектуры), и когда решение требует синтеза знаний из разных областей.</w:t>
      </w:r>
    </w:p>
    <w:p>
      <w:pPr>
        <w:pStyle w:val="Heading2"/>
      </w:pPr>
      <w:r>
        <w:t xml:space="preserve">3.2. Практические примеры (проект GPUWorkLib)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Рассмотрим на реальном проекте — библиотеке GPU-вычислений для цифровой обработки сигналов с 12 модулями, гибридным OpenCL/ROCm бэкендом и Python-биндингами.</w:t>
      </w:r>
      <w:r>
        <w:rPr>
          <w:rStyle w:val="FootnoteReference"/>
        </w:rPr>
        <w:footnoteReference w:id="6"/>
      </w:r>
    </w:p>
    <w:p>
      <w:pPr>
        <w:pStyle w:val="Heading3"/>
      </w:pPr>
      <w:r>
        <w:t xml:space="preserve">Пример 1. Анализ архитектуры C4 — поиск узких мест до написания кода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Разработчик загружает в AI семь архитектурных документов (C1–C4, DFD, Sequence-диаграммы) и просит: «проанализируй архитектуру». Google здесь бесполезен — нет запроса, который вернёт релевантный результат для вашей конкретной системы.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видит всю структуру одновременно и обнаруживает: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D85A30" w:sz="12"/>
              <w:bottom w:val="none" w:sz="0"/>
              <w:right w:val="none" w:sz="0"/>
            </w:tcBorders>
            <w:shd w:fill="FAE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Находка 1: Backend-асимметрия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из 12 модулей работают только на ROCm, тогда как DrvGPU заявляет multi-backend абстракцию (OpenCL / ROCm / Hybrid). Это скрытый технический долг: при переходе на NVIDIA-кластер половина модулей просто не запустится. Google не подскажет это, потому что проблема не в отдельном модуле, а в несоответствии между обещаниями интерфейса и реальностью реализации.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D85A30" w:sz="12"/>
              <w:bottom w:val="none" w:sz="0"/>
              <w:right w:val="none" w:sz="0"/>
            </w:tcBorders>
            <w:shd w:fill="FAE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Находка 2: Каскадные зависимости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 матрице зависимостей видно, что Heterodyne зависит от SignalGenerators И fft_func, а Range Angle зависит от Heterodyne И fft_func. Это создаёт транзитивную цепочку, где поломка в fft_func каскадно обрушает дальнометрию и 3D-обработку. AI может предложить circuit-breaker или fallback-стратегию.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D85A30" w:sz="12"/>
              <w:bottom w:val="none" w:sz="0"/>
              <w:right w:val="none" w:sz="0"/>
            </w:tcBorders>
            <w:shd w:fill="FAE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Находка 3: Singleton в GPU-контексте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 Component Diagram GPUProfiler и ConsoleOutput оба помечены как Singleton. В многопоточном GPU-контексте с несколькими устройствами это может стать узким местом. AI замечает это из C3-диаграммы и спрашивает: «как вы решаете конкурентный доступ к профайлеру из 4 GPU одновременно?»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Пример 2. Анализ кода — zero-copy HIP↔OpenCL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Разработчик загружает main.cpp с proof-of-concept: передача hipMalloc-указателей в OpenCL через clSetKernelArgSVMPointer. В коде закомментировано: «clSVMMap/Unmap даёт SIGSEGV в libamdocl64 — пропускаем».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Попробуйте загуглить «clSVMMap SIGSEGV libamdocl64 gfx1201» — вы получите 0–3 результата, большинство нерелевантных. Это настолько edge-case, что Stack Overflow не поможет.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AI, проанализировав код, может: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Объяснить, почему SIGSEGV возникает (libamdocl64 не ожидает hipMalloc-указатели в SVM map, потому что это не штатный OpenCL SVM allocation path)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Предложить альтернативу: использовать hipHostMalloc с hipHostMallocMapped или clCreateBuffer с CL_MEM_USE_HOST_PTR на unified memory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Предупредить: на gfx1201 (Radeon 9070) zero-copy работает из-за единого адресного пространства GPU, но на дискретных NVIDIA-картах этот подход сломается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Предложить добавить runtime-проверку через hipDeviceGetAttribute для portability</w:t>
      </w:r>
    </w:p>
    <w:p>
      <w:pPr>
        <w:pStyle w:val="Heading3"/>
      </w:pPr>
      <w:r>
        <w:t xml:space="preserve">Пример 3. Синтез знаний из разных областей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Вопрос: «как организовать batch-FFT для 48-канальной антенной решётки с дробной задержкой Farrow?»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 Google вы получите отдельные статьи про batch FFT, отдельные про Farrow-фильтры, отдельные про beamforming. Связать их в один pipeline — ваша задача.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AI, видя вашу архитектуру (модуль Strategies зависит от SigGen + fft_func + Farrow + Statistics), может: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Предложить оптимальный порядок: Farrow (выравнивание задержек) → CGEMM (весовые коэффициенты) → batch FFT (все каналы за один вызов hipFFT)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Указать на конфликт: модуль Strategies использует hipBLAS для CGEMM, но Farrow работает через собственные HIP-ядра — нужна синхронизация через stream ordering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Найти на GitHub реализации аналогичных pipeline и адаптировать подход под вашу конкретную архитектуру буферов</w:t>
      </w:r>
    </w:p>
    <w:p>
      <w:pPr>
        <w:pStyle w:val="Heading2"/>
      </w:pPr>
      <w:r>
        <w:t xml:space="preserve">3.3. Сводная таблица: Google vs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(Claude, GPT)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Тип задачи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Конкретный вопрос с известными ключевыми словами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Комплексная задача, где формулировка — часть проблемы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Контекст проекта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Нет — каждый запрос с нуля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Держит всю архитектуру (до 1M токенов)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Код-ревью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Невозможно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Анализирует десятки файлов одновременно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Поиск багов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 error message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 логике взаимодействия компонентов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Архитектурный ревью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Статьи о паттернах (абстрактно)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Анализ вашей конкретной системы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Edge-cases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0–3 результата на редкие комбинации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Выводит ответ из базовых знаний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Синтез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Вы собираете из 10 вкладок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Один связный ответ из нескольких доменов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Время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2–4 часа на исследование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5–15 минут на тот же объём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3.4. Когда Google всё-таки лучше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не заменяет Google полностью. Поиск остаётся лучше для: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Точных ссылок на документацию API (man-страницы, reference)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Последних release notes библиотек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Форумных обсуждений специфичных hardware-багов (ROCm GitHub Issues)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Сравнения цен и лицензий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Оптимальный workflow: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Google для фактов → AI для анализа и синтеза → Google для верификации конкретных деталей.</w:t>
      </w:r>
    </w:p>
    <w:p>
      <w:r>
        <w:br w:type="page"/>
      </w:r>
    </w:p>
    <w:p>
      <w:pPr>
        <w:pStyle w:val="Heading1"/>
      </w:pPr>
      <w:r>
        <w:t xml:space="preserve">4. Когда offline-модель достаточна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Локальные модели в 2026 году перешли критический порог: они справляются с 70–80% повседневных задач кодинга на уровне, приемлемом для продуктивной работы.</w:t>
      </w:r>
      <w:r>
        <w:rPr>
          <w:rStyle w:val="FootnoteReference"/>
        </w:rPr>
        <w:footnoteReference w:id="3"/>
      </w:r>
    </w:p>
    <w:p>
      <w:pPr>
        <w:pStyle w:val="Heading3"/>
      </w:pPr>
      <w:r>
        <w:t xml:space="preserve">Автодополнение кода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 наборе кода в IDE локальная модель предлагает продолжение строки, функции и блоки. Латентность локальной модели ниже, чем у облачной — нет сетевой задержки.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B57" w:sz="12"/>
              <w:bottom w:val="none" w:sz="0"/>
              <w:right w:val="none" w:sz="0"/>
            </w:tcBorders>
            <w:shd w:fill="E6F4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Пример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 пишете «def calculate_tax(» в Python. Qwen3.5-9B через Continue.dev мгновенно предлагает полную реализацию с параметрами, проверкой типов и docstring. Скорость — 30–50 токенов/сек, даже на ноутбуке.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Генерация тестов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B57" w:sz="12"/>
              <w:bottom w:val="none" w:sz="0"/>
              <w:right w:val="none" w:sz="0"/>
            </w:tcBorders>
            <w:shd w:fill="E6F4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Пример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 даёте модели функцию расчёта скидки и просите «напиши тесты». Qwen3-Coder-Next генерирует pytest с краевыми случаями: отрицательная цена, скидка 100%, нулевое количество, очень большие числа.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Рефакторинг и документация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B57" w:sz="12"/>
              <w:bottom w:val="none" w:sz="0"/>
              <w:right w:val="none" w:sz="0"/>
            </w:tcBorders>
            <w:shd w:fill="E6F4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Пример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Просьба «переименуй все переменные в camelCase и добавь type hints» к файлу на 200 строк. Llama 3.3 70B выполняет это за 10–15 секунд без ошибок.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Конфиденциальный код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Оборонные подрядчики, финансовые компании, медицинские организации — везде, где передача кода на внешние серверы недопустима. Локальная модель — единственный вариант.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B57" w:sz="12"/>
              <w:bottom w:val="none" w:sz="0"/>
              <w:right w:val="none" w:sz="0"/>
            </w:tcBorders>
            <w:shd w:fill="E6F4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Пример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Компания под ITAR (экспортный контроль США) не может отправлять код на внешние серверы. С Llama 3.3 70B локально они получают 40% рост продуктивности вместо нуля без AI.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Когда облачные модели незаменимы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Несмотря на прогресс offline-моделей, есть категории задач, где облачные модели остаются незаменимыми.</w:t>
      </w:r>
    </w:p>
    <w:p>
      <w:pPr>
        <w:pStyle w:val="Heading3"/>
      </w:pPr>
      <w:r>
        <w:t xml:space="preserve">Сложная многофайловая отладка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B57" w:sz="12"/>
              <w:bottom w:val="none" w:sz="0"/>
              <w:right w:val="none" w:sz="0"/>
            </w:tcBorders>
            <w:shd w:fill="E6F4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Пример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React-приложение на 50 компонентов. После обновления библиотеки сломался рендеринг в 3 местах. Claude Opus 4.6 видит все зависимости, находит корневую причину в контекст-провайдере и предлагает исправление сразу во всех файлах.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Архитектурные решения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B57" w:sz="12"/>
              <w:bottom w:val="none" w:sz="0"/>
              <w:right w:val="none" w:sz="0"/>
            </w:tcBorders>
            <w:shd w:fill="E6F4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Пример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 просите: «Спроектируй систему нотификаций для 10M пользователей с email, push и SMS». Claude Opus 4.6 предложит event-driven архитектуру, объяснит почему не fan-out, даст схему БД и код инфраструктуры. Локальная модель даст работающий, но наивный вариант.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Неоднозначные промпты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Облачные модели лучше понимают нечёткие инструкции и подразумеваемые требования.</w:t>
      </w:r>
      <w:r>
        <w:rPr>
          <w:rStyle w:val="FootnoteReference"/>
        </w:rPr>
        <w:footnoteReference w:id="5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B57" w:sz="12"/>
              <w:bottom w:val="none" w:sz="0"/>
              <w:right w:val="none" w:sz="0"/>
            </w:tcBorders>
            <w:shd w:fill="E6F4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Пример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Промпт: «сделай чтобы работало быстрее» (без уточнения, что именно). Claude Opus проанализирует весь контекст, найдёт узкие места (N+1 запросы, лишние рендеры) и предложит конкретные оптимизации. Локальная модель может дать общие советы без привязки к вашему коду.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Нестандартные языковые паттерны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B57" w:sz="12"/>
              <w:bottom w:val="none" w:sz="0"/>
              <w:right w:val="none" w:sz="0"/>
            </w:tcBorders>
            <w:shd w:fill="E6F4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Пример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Тест на редкий паттерн TypeScript type narrowing: все локальные модели (включая Qwen3-Coder и Kimi K2) набрали 1/10. Claude Sonnet 4 набрал 8/10, правильно решив задачу.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Практические рекомендации</w:t>
      </w:r>
    </w:p>
    <w:p>
      <w:pPr>
        <w:pStyle w:val="Heading2"/>
      </w:pPr>
      <w:r>
        <w:t xml:space="preserve">6.1. Гибридная стратегия (local-first + cloud-fallback)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Оптимальный подход в 2026 году — гибридный. Локальная модель по умолчанию, облачная — для сложных задач: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Автодополнение в IDE: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Qwen3.5-9B или Qwen3-Coder-Next через Continue.dev / Cline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Быстрые вопросы: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локальная модель через Ollama / LM Studio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Сложный дебаг: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Claude Opus 4.6 или Gemini 3.1 Pro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Архитектура / миграция: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Claude Opus 4.6 через Claude Code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Конфиденциальный код: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только локальная модель (Llama 3.3 70B или Qwen3-Coder-Next)</w:t>
      </w:r>
    </w:p>
    <w:p>
      <w:pPr>
        <w:pStyle w:val="Heading2"/>
      </w:pPr>
      <w:r>
        <w:t xml:space="preserve">6.2. Минимальные требования к оборудованию для offline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Скорость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Ноутбук (base)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8–16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Qwen3.5-4B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40–60 tok/s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Mac M2/M3/M4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16–32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Qwen3-Coder-Next Q4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30–50 tok/s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PC + RTX 4060 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 GB VRAM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DeepSeek R1 14B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40+ tok/s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Mac Studio M4 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64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Llama 3.3 70B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30+ tok/s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PC + RTX 5090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32 GB VRAM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Llama 3.3 70B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213 tok/s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Заключение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 2026 году выбор между online и offline AI для программирования — это не вопрос «или/или», а вопрос «когда и как».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Основные выводы: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Локальные модели перешли порог практической полезности и справляются с 70–80% повседневных задач кодинга.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Разрыв между cloud и local сокращается с каждым релизом: Qwen3.5-35B-A3B уже превосходит предыдущую Qwen3-235B.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Облачные модели незаменимы для сложных архитектурных задач, многофайловой отладки и работы с неоднозначными требованиями.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принципиально отличается от Google: поиск даёт ответ на сформулированный вопрос, AI анализирует ваш конкретный проект и находит проблемы, которые вы не знали что нужно искать.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Гибридный подход (local-first + cloud-fallback) даёт оптимальное соотношение качества, стоимости и приватности.</w:t>
      </w: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Данные отчёта актуальны на 31 марта 2026 года. Ландшафт AI-моделей меняется быстро: новые модели выходят ежемесячно, и разрыв между облачными и локальными моделями продолжает сокращаться.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—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Arial" w:cs="Arial" w:eastAsia="Arial" w:hAnsi="Arial"/>
          <w:color w:val="666666"/>
          <w:sz w:val="18"/>
          <w:szCs w:val="18"/>
        </w:rPr>
        <w:t xml:space="preserve">SWE-bench Verified (март 2026), vals.ai, swe-rebench.com</w:t>
      </w:r>
    </w:p>
  </w:footnote>
  <w:footnote w:id="2">
    <w:p>
      <w:r>
        <w:rPr>
          <w:rStyle w:val="FootnoteReference"/>
        </w:rPr>
        <w:footnoteRef/>
      </w:r>
      <w:r>
        <w:rPr>
          <w:rFonts w:ascii="Arial" w:cs="Arial" w:eastAsia="Arial" w:hAnsi="Arial"/>
          <w:color w:val="666666"/>
          <w:sz w:val="18"/>
          <w:szCs w:val="18"/>
        </w:rPr>
        <w:t xml:space="preserve">Qwen3-Coder-Next Technical Report, февраль 2026, Alibaba Cloud</w:t>
      </w:r>
    </w:p>
  </w:footnote>
  <w:footnote w:id="3">
    <w:p>
      <w:r>
        <w:rPr>
          <w:rStyle w:val="FootnoteReference"/>
        </w:rPr>
        <w:footnoteRef/>
      </w:r>
      <w:r>
        <w:rPr>
          <w:rFonts w:ascii="Arial" w:cs="Arial" w:eastAsia="Arial" w:hAnsi="Arial"/>
          <w:color w:val="666666"/>
          <w:sz w:val="18"/>
          <w:szCs w:val="18"/>
        </w:rPr>
        <w:t xml:space="preserve">LocalAI Master, март 2026 — тестирование локальных моделей</w:t>
      </w:r>
    </w:p>
  </w:footnote>
  <w:footnote w:id="4">
    <w:p>
      <w:r>
        <w:rPr>
          <w:rStyle w:val="FootnoteReference"/>
        </w:rPr>
        <w:footnoteRef/>
      </w:r>
      <w:r>
        <w:rPr>
          <w:rFonts w:ascii="Arial" w:cs="Arial" w:eastAsia="Arial" w:hAnsi="Arial"/>
          <w:color w:val="666666"/>
          <w:sz w:val="18"/>
          <w:szCs w:val="18"/>
        </w:rPr>
        <w:t xml:space="preserve">XDA Developers, март 2026 — практическое тестирование Qwen3 Coder Next</w:t>
      </w:r>
    </w:p>
  </w:footnote>
  <w:footnote w:id="5">
    <w:p>
      <w:r>
        <w:rPr>
          <w:rStyle w:val="FootnoteReference"/>
        </w:rPr>
        <w:footnoteRef/>
      </w:r>
      <w:r>
        <w:rPr>
          <w:rFonts w:ascii="Arial" w:cs="Arial" w:eastAsia="Arial" w:hAnsi="Arial"/>
          <w:color w:val="666666"/>
          <w:sz w:val="18"/>
          <w:szCs w:val="18"/>
        </w:rPr>
        <w:t xml:space="preserve">morphllm.com — Best AI for Coding 2026, SWE-Bench Pro Leaderboard</w:t>
      </w:r>
    </w:p>
  </w:footnote>
  <w:footnote w:id="6">
    <w:p>
      <w:r>
        <w:rPr>
          <w:rStyle w:val="FootnoteReference"/>
        </w:rPr>
        <w:footnoteRef/>
      </w:r>
      <w:r>
        <w:rPr>
          <w:rFonts w:ascii="Arial" w:cs="Arial" w:eastAsia="Arial" w:hAnsi="Arial"/>
          <w:color w:val="666666"/>
          <w:sz w:val="18"/>
          <w:szCs w:val="18"/>
        </w:rPr>
        <w:t xml:space="preserve">GPUWorkLib Architecture Documentation, C1–C4 + DFD + Sequence Diagrams (2026-03-28)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AI Online vs Offline для программирования — Технический отчёт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C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2026-03-31T08:40:16.501Z</dcterms:created>
  <dcterms:modified xsi:type="dcterms:W3CDTF">2026-03-31T08:40:16.502Z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